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Электролизные ванны полимербетонные, 180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Внутр. 8485 × 1155 × 1650 мм; 84 катода / 85 анодов; интегрированный бортовой отсос и съёмный колпак; дно с уклоном к центру и донной пробкой.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Polymer-concrete electrowinning cells, 180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ОВЭ75-RFQ-13 / To RFQ No. OVE75-RFQ-13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Электролизные ванны полимербетонные, 180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Внутр. 8485 × 1155 × 1650 мм; 84 катода / 85 анодов; интегрированный бортовой отсос и съёмный колпак; дно с уклоном к центру и донной пробкой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Подтвердить конструкцию и материал ванны (монолитный винилэфирный композит), интеграцию бортового отсоса и легкосъёмного колпака</w:t>
            </w:r>
          </w:p>
        </w:tc>
      </w:tr>
    </w:tbl>
    <w:p>
      <w:r>
        <w:rPr>
          <w:b/>
          <w:sz w:val="20"/>
        </w:rPr>
        <w:t xml:space="preserve">Состав позиции по перечню оборудования — Equipment covered by this request:</w:t>
      </w:r>
    </w:p>
    <w:p>
      <w:r>
        <w:rPr>
          <w:b/>
          <w:sz w:val="21"/>
        </w:rPr>
        <w:t xml:space="preserve">1. Электролизная ванна</w:t>
      </w:r>
      <w:r>
        <w:rPr>
          <w:color w:val="888888"/>
          <w:sz w:val="16"/>
        </w:rPr>
        <w:t xml:space="preserve">   Электролиз · поз. 4.2.3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Полимербетонные ванны из монолитного винилэфирного композита; соответствие конструкции подтверждается в ТКП</w:t>
            </w:r>
          </w:p>
        </w:tc>
      </w:tr>
      <w:tr>
        <w:tc>
          <w:tcPr>
            <w:tcW w:w="3038" w:type="dxa"/>
            <w:shd w:val="clear" w:fill="EFEFEF"/>
          </w:tcPr>
          <w:p>
            <w:r>
              <w:rPr>
                <w:b/>
                <w:sz w:val="18"/>
              </w:rPr>
              <w:t xml:space="preserve">Назначение — Duty</w:t>
            </w:r>
          </w:p>
        </w:tc>
        <w:tc>
          <w:tcPr>
            <w:tcW w:w="6600" w:type="dxa"/>
          </w:tcPr>
          <w:p>
            <w:r>
              <w:rPr>
                <w:sz w:val="18"/>
              </w:rPr>
              <w:t xml:space="preserve">Электроэкстракция меди из растворов</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I факт = 42,45 кА; D расч = 280,0 А/м², D факт = 252,7 А/м²; производительность 49,49 кг/ч на ванну, 8066,1 кг/ч всего</w:t>
            </w:r>
          </w:p>
        </w:tc>
      </w:tr>
      <w:tr>
        <w:tc>
          <w:tcPr>
            <w:tcW w:w="3038" w:type="dxa"/>
            <w:shd w:val="clear" w:fill="EFEFEF"/>
          </w:tcPr>
          <w:p>
            <w:r>
              <w:rPr>
                <w:b/>
                <w:sz w:val="18"/>
              </w:rPr>
              <w:t xml:space="preserve">Количество — Quantity</w:t>
            </w:r>
          </w:p>
        </w:tc>
        <w:tc>
          <w:tcPr>
            <w:tcW w:w="6600" w:type="dxa"/>
          </w:tcPr>
          <w:p>
            <w:r>
              <w:rPr>
                <w:sz w:val="18"/>
              </w:rPr>
              <w:t xml:space="preserve">180 (2 серии × 90); расчётно 163 шт., коэфф. запаса 1,104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Полимербетон (монолитный винилэфирный композит)</w:t>
            </w:r>
          </w:p>
        </w:tc>
      </w:tr>
      <w:tr>
        <w:tc>
          <w:tcPr>
            <w:tcW w:w="3038" w:type="dxa"/>
            <w:shd w:val="clear" w:fill="EFEFEF"/>
          </w:tcPr>
          <w:p>
            <w:r>
              <w:rPr>
                <w:b/>
                <w:sz w:val="18"/>
              </w:rPr>
              <w:t xml:space="preserve">Габариты, НЗП — Dimensions, hold-up</w:t>
            </w:r>
          </w:p>
        </w:tc>
        <w:tc>
          <w:tcPr>
            <w:tcW w:w="6600" w:type="dxa"/>
          </w:tcPr>
          <w:p>
            <w:r>
              <w:rPr>
                <w:sz w:val="18"/>
              </w:rPr>
              <w:t xml:space="preserve">Внутренние габариты 8485 × 1155 × 1650 мм (Д×Ш×В); 84 катода, 85 анодов</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Конструкция интегрирована с аспирацией: бортовой отсос + легкосъёмный колпак. Дно с уклоном к центру, донная пробка для выгрузки шлама. Чистка от свинцового шлама обычно не чаще 1 раза в год.</w:t>
            </w:r>
          </w:p>
        </w:tc>
      </w:tr>
    </w:tbl>
    <w:p>
      <w:r>
        <w:rPr>
          <w:b/>
          <w:sz w:val="21"/>
        </w:rPr>
        <w:t xml:space="preserve">2. Аспирационные укрытия ванн</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Бортовой отсос + легкосъёмный колпак</w:t>
            </w:r>
          </w:p>
        </w:tc>
      </w:tr>
      <w:tr>
        <w:tc>
          <w:tcPr>
            <w:tcW w:w="3038" w:type="dxa"/>
            <w:shd w:val="clear" w:fill="EFEFEF"/>
          </w:tcPr>
          <w:p>
            <w:r>
              <w:rPr>
                <w:b/>
                <w:sz w:val="18"/>
              </w:rPr>
              <w:t xml:space="preserve">Назначение — Duty</w:t>
            </w:r>
          </w:p>
        </w:tc>
        <w:tc>
          <w:tcPr>
            <w:tcW w:w="6600" w:type="dxa"/>
          </w:tcPr>
          <w:p>
            <w:r>
              <w:rPr>
                <w:sz w:val="18"/>
              </w:rPr>
              <w:t xml:space="preserve">Локальная аспирация ванн, исключающая достижение точки росы под колпаками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Периодическая промывка коллекторов водой против накопления сухих солей; слив промывных растворов в буферную ёмкость или в питание скруббера</w:t>
            </w:r>
          </w:p>
        </w:tc>
      </w:tr>
      <w:tr>
        <w:tc>
          <w:tcPr>
            <w:tcW w:w="3038" w:type="dxa"/>
            <w:shd w:val="clear" w:fill="EFEFEF"/>
          </w:tcPr>
          <w:p>
            <w:r>
              <w:rPr>
                <w:b/>
                <w:sz w:val="18"/>
              </w:rPr>
              <w:t xml:space="preserve">Количество — Quantity</w:t>
            </w:r>
          </w:p>
        </w:tc>
        <w:tc>
          <w:tcPr>
            <w:tcW w:w="6600" w:type="dxa"/>
          </w:tcPr>
          <w:p>
            <w:r>
              <w:rPr>
                <w:sz w:val="18"/>
              </w:rPr>
              <w:t xml:space="preserve">180 комплектов</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Коррозионностойкое исполнение</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13 cell</dc:title>
  <dc:creator>ООО «КВАНТ»</dc:creator>
  <cp:lastModifiedBy>ООО «КВАНТ»</cp:lastModifiedBy>
  <dcterms:created xsi:type="dcterms:W3CDTF">2026-08-27T09:00:00Z</dcterms:created>
  <dcterms:modified xsi:type="dcterms:W3CDTF">2026-08-27T09:00:00Z</dcterms:modified>
</cp:coreProperties>
</file>