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ОЛ-ОВЭ75-08</w:t>
      </w:r>
    </w:p>
    <w:p>
      <w:r>
        <w:rPr>
          <w:b/>
          <w:sz w:val="28"/>
        </w:rPr>
        <w:t xml:space="preserve">Выпарной аппарат (испаритель)</w:t>
      </w:r>
    </w:p>
    <w:p>
      <w:r>
        <w:rPr>
          <w:color w:val="666666"/>
          <w:sz w:val="18"/>
        </w:rPr>
        <w:t xml:space="preserve">Лот №2 · Участок купоросов · участок: Кристаллизация медного купороса · сформирован 27.08.2026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4.1.1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 ступени (выпарной аппарат) · УУСС: испаритель EV-2 с выносным нагревателем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 (1 нитка)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II ступени (выпарной аппарат) · УУСС: испаритель EV-2 с принудительной циркуляцией, под доп. разрежением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4.1.23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 ступени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4.1.24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Испаритель II ступени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345 дней/год, 8322 ч, круглосуточно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Состав и количество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рис. 4.4/4.5; табл. 4.1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Вакуумная кристаллизация медного (нитка 1) и смешанного медно-никелевого (нитка 2) купоросов, I/II ступени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4.1; поз. 4.1.1–4.1.24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4.2.1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материалу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4.2.1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разд. 4.1.4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Давления (разрежения)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3.1, 4.1, рис. 4.4/4.5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Греющий пар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табл. 3.1; п. 1.3.13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Коэффициент теплопередачи (требуемый)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Крупность кристаллов / влажность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3.1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от заполненного аппарата (нитка 1)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по V=34,5 м³, ρ=1,3 т/м³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от заполненного аппарата (нитка 2)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по V=8,9 м³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Монтажная единица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(см. «Компоновка»)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Контроль материала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ГОСТ 34233.1-2017; ФНП № 536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ч.2 табл. 4.1; ТЗ п.4.4; поз. 4.1.1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Циркуляционные насосы, сепараторы, КИП в комплекте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состав комплектной поставки — по ТКП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bi_lot2.json (инженерные решения БИ); сборка — ove/tools/build_specs.py, 27.08.2026.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vyparnoy apparat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