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200"/>
        <w:gridCol w:w="12370"/>
      </w:tblGrid>
      <w:tr>
        <w:tc>
          <w:tcPr>
            <w:tcW w:w="2200" w:type="dxa"/>
          </w:tcPr>
          <w:p>
            <w:r>
              <w:rPr>
                <w:b/>
                <w:sz w:val="34"/>
              </w:rPr>
              <w:t xml:space="preserve">КВАНТ</w:t>
            </w:r>
          </w:p>
          <w:p>
            <w:r>
              <w:rPr>
                <w:color w:val="666666"/>
                <w:sz w:val="15"/>
              </w:rPr>
              <w:t xml:space="preserve">рабочие материалы проекта</w:t>
            </w:r>
          </w:p>
        </w:tc>
        <w:tc>
          <w:tcPr>
            <w:tcW w:w="12370" w:type="dxa"/>
          </w:tcPr>
          <w:p>
            <w:r>
              <w:rPr>
                <w:b/>
                <w:sz w:val="20"/>
              </w:rPr>
              <w:t xml:space="preserve">ОВЭ-75 · АО «Кольская ГМК» (АО «Кольская горно-металлургическая компания»)</w:t>
            </w:r>
          </w:p>
          <w:p>
            <w:r>
              <w:rPr>
                <w:color w:val="444444"/>
                <w:sz w:val="17"/>
              </w:rPr>
              <w:t xml:space="preserve">Комплекс «обжиг – выщелачивание – электроэкстракция» производительностью 75 000 т катодной меди в год · шифр КГМК.ОВЭ-75</w:t>
            </w:r>
          </w:p>
        </w:tc>
      </w:tr>
    </w:tbl>
    <w:p>
      <w:r>
        <w:rPr>
          <w:b/>
          <w:sz w:val="36"/>
        </w:rPr>
        <w:t xml:space="preserve">Перечень основного оборудования по лотам</w:t>
      </w:r>
    </w:p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4570"/>
      </w:tblGrid>
      <w:tr>
        <w:tc>
          <w:tcPr>
            <w:tcW w:w="14570" w:type="dxa"/>
            <w:shd w:val="clear" w:fill="FFEB9C"/>
          </w:tcPr>
          <w:p>
            <w:r>
              <w:rPr>
                <w:b/>
                <w:color w:val="8A6200"/>
                <w:sz w:val="26"/>
              </w:rPr>
              <w:t xml:space="preserve">ЧЕРНОВИК — для запроса ТКП</w:t>
            </w:r>
          </w:p>
          <w:p>
            <w:r>
              <w:rPr>
                <w:color w:val="8A6200"/>
                <w:sz w:val="16"/>
              </w:rPr>
              <w:t xml:space="preserve">Не является выпущенной документацией. Значения — из ИД/ТЗ Заказчика и решений БИ (equipment.json, bi_lot*.json); жёлтые поля «уточняется по ТКП» заполняет поставщик в составе технико-коммерческого предложения.</w:t>
            </w:r>
          </w:p>
        </w:tc>
      </w:tr>
    </w:tbl>
    <w:p>
      <w:r>
        <w:rPr>
          <w:b/>
          <w:sz w:val="19"/>
        </w:rPr>
        <w:t xml:space="preserve">Сводка: </w:t>
      </w:r>
      <w:r>
        <w:rPr>
          <w:sz w:val="19"/>
        </w:rPr>
        <w:t xml:space="preserve">позиций 70 (Лот №1 — 27, №2 — 17, №3 — 14, №4 — 5, вне лотов — 7); ключевых 19 (полужирным). Сформировано 27.08.2026.</w:t>
      </w:r>
    </w:p>
    <w:p>
      <w:r>
        <w:rPr>
          <w:b/>
          <w:color w:val="666666"/>
          <w:sz w:val="17"/>
        </w:rPr>
        <w:t xml:space="preserve">Источники: </w:t>
      </w:r>
      <w:r>
        <w:rPr>
          <w:color w:val="666666"/>
          <w:sz w:val="17"/>
        </w:rPr>
        <w:t xml:space="preserve">ИД ч.1 табл. 24 и раздел НЗП (Лот №1); ИД ч.2 табл. 4.1 и 4.2 (Лоты №2, №3); ТЗ на БИ v3.6 разделы 3.4, 4.4, 5.3, 6.3</w:t>
      </w:r>
    </w:p>
    <w:p>
      <w:r>
        <w:rPr>
          <w:b/>
          <w:color w:val="8A6200"/>
          <w:sz w:val="17"/>
        </w:rPr>
        <w:t xml:space="preserve">Нормализация: </w:t>
      </w:r>
      <w:r>
        <w:rPr>
          <w:color w:val="8A6200"/>
          <w:sz w:val="17"/>
        </w:rPr>
        <w:t xml:space="preserve">Марка стали циклона, электрофильтра и дымососов приведена как 12Х18Н10Т. В ИД ч.1 она четырежды напечатана как «12Х1812Т» (такой марки не существует) и один раз корректно — 12Х18Н10Т. При цитировании документов Заказчика используйте его написание, при запросе ТКП — нормализованное.</w:t>
      </w:r>
    </w:p>
    <w:p>
      <w:r>
        <w:rPr>
          <w:b/>
          <w:color w:val="666666"/>
          <w:sz w:val="17"/>
        </w:rPr>
        <w:t xml:space="preserve">Статусы позиций: </w:t>
      </w:r>
      <w:r>
        <w:rPr>
          <w:color w:val="666666"/>
          <w:sz w:val="17"/>
        </w:rPr>
        <w:t xml:space="preserve">«Закуп» — Позиция закупается серийной — есть рынок, нужны ТКП; «Изготовление» — Нестандартное изделие — нужен завод-изготовитель и задание на изготовление; «Перепроектируется» — Существующее решение требует переработки под новые параметры; «Наличие» — Часть оборудования уже есть у Заказчика; «Уточняется» — Количество/характеристики определяются на стадии ОТР</w:t>
      </w:r>
    </w:p>
    <w:p>
      <w:pPr>
        <w:pStyle w:val="Heading2"/>
      </w:pPr>
      <w:r>
        <w:t xml:space="preserve">Лот №1 · Цех обжига — 27 поз.</w:t>
      </w:r>
    </w:p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00"/>
        <w:gridCol w:w="3300"/>
        <w:gridCol w:w="5100"/>
        <w:gridCol w:w="1900"/>
        <w:gridCol w:w="600"/>
        <w:gridCol w:w="2770"/>
      </w:tblGrid>
      <w:tr>
        <w:tc>
          <w:tcPr>
            <w:tcW w:w="900" w:type="dxa"/>
            <w:shd w:val="clear" w:fill="EFEFEF"/>
          </w:tcPr>
          <w:p>
            <w:r>
              <w:rPr>
                <w:b/>
                <w:sz w:val="18"/>
              </w:rPr>
              <w:t xml:space="preserve">Позиция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</w:t>
            </w:r>
          </w:p>
        </w:tc>
        <w:tc>
          <w:tcPr>
            <w:tcW w:w="5100" w:type="dxa"/>
            <w:shd w:val="clear" w:fill="EFEFEF"/>
          </w:tcPr>
          <w:p>
            <w:r>
              <w:rPr>
                <w:b/>
                <w:sz w:val="18"/>
              </w:rPr>
              <w:t xml:space="preserve">Ключевые параметры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600" w:type="dxa"/>
            <w:shd w:val="clear" w:fill="EFEFEF"/>
          </w:tcPr>
          <w:p>
            <w:r>
              <w:rPr>
                <w:b/>
                <w:sz w:val="18"/>
              </w:rPr>
              <w:t xml:space="preserve">Лот</w:t>
            </w:r>
          </w:p>
        </w:tc>
        <w:tc>
          <w:tcPr>
            <w:tcW w:w="2770" w:type="dxa"/>
            <w:shd w:val="clear" w:fill="EFEFEF"/>
          </w:tcPr>
          <w:p>
            <w:r>
              <w:rPr>
                <w:b/>
                <w:sz w:val="18"/>
              </w:rPr>
              <w:t xml:space="preserve">Примечание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1.01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Ленточные транспортёры (в т.ч. реверсивные)</w:t>
            </w:r>
          </w:p>
          <w:p>
            <w:r>
              <w:rPr>
                <w:color w:val="666666"/>
                <w:sz w:val="16"/>
              </w:rPr>
              <w:t xml:space="preserve">УКВ-320-Ц-60 / УКВ-200-Ц-60 / УКВ-200-Ц-37,5 / УКВ-320-Ц-95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Производительность до 15 т/ч</w:t>
            </w:r>
          </w:p>
          <w:p>
            <w:r>
              <w:rPr>
                <w:sz w:val="17"/>
              </w:rPr>
              <w:t xml:space="preserve">Габариты/НЗП: Ширина ленты 400 мм, средняя длина 3000 мм, высота слоя 100 мм</w:t>
            </w:r>
          </w:p>
          <w:p>
            <w:r>
              <w:rPr>
                <w:sz w:val="17"/>
              </w:rPr>
              <w:t xml:space="preserve">Мощность: 3,4–30 кВт</w:t>
            </w:r>
          </w:p>
          <w:p>
            <w:r>
              <w:rPr>
                <w:sz w:val="17"/>
              </w:rPr>
              <w:t xml:space="preserve">Материал: Углеродистая сталь, резина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Уточняется на стадии ОТР; 5 реверсивных на загрузку бункеров шихты и печи КС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Часть в наличии</w:t>
            </w:r>
          </w:p>
          <w:p>
            <w:r>
              <w:rPr>
                <w:color w:val="666666"/>
                <w:sz w:val="16"/>
              </w:rPr>
              <w:t xml:space="preserve">Транспортировка медного концентрата, кека NNH, оборотных материалов и продуктов обжига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1.02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Ленточные транспортёры для цементной меди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Производительность до 15 т/ч</w:t>
            </w:r>
          </w:p>
          <w:p>
            <w:r>
              <w:rPr>
                <w:sz w:val="17"/>
              </w:rPr>
              <w:t xml:space="preserve">Материал: Нержавеющая сталь, кислотоупорная резина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Уточняется на стадии ОТР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Транспортировка цементной меди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1.03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Шнековые транспортёры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Производительность до 15 т/ч</w:t>
            </w:r>
          </w:p>
          <w:p>
            <w:r>
              <w:rPr>
                <w:sz w:val="17"/>
              </w:rPr>
              <w:t xml:space="preserve">Габариты/НЗП: Ø320 L10000 и L1000 мм; под пыль КУ Ø360 L5000; циклона Ø360 L5000; электрофильтра Ø200 L5000</w:t>
            </w:r>
          </w:p>
          <w:p>
            <w:r>
              <w:rPr>
                <w:sz w:val="17"/>
              </w:rPr>
              <w:t xml:space="preserve">Материал: Углеродистая сталь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 на подачу шихты; отдельные под пыль КУ / циклона / электрофильтра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Транспортировка пылящих высокотемпературных компонентов шихты (кроме цементной меди) и продуктов обжига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1.04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Шнековые транспортёры для цементной меди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Производительность до 15 т/ч</w:t>
            </w:r>
          </w:p>
          <w:p>
            <w:r>
              <w:rPr>
                <w:sz w:val="17"/>
              </w:rPr>
              <w:t xml:space="preserve">Материал: Нержавеющая сталь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Уточняется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Транспортировка цементной меди и шихты, её содержащей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1.05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Приёмные бункера</w:t>
            </w:r>
          </w:p>
          <w:p>
            <w:r>
              <w:rPr>
                <w:color w:val="666666"/>
                <w:sz w:val="16"/>
              </w:rPr>
              <w:t xml:space="preserve">Цилиндрические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Объём для обеспечения непрерывной работы</w:t>
            </w:r>
          </w:p>
          <w:p>
            <w:r>
              <w:rPr>
                <w:sz w:val="17"/>
              </w:rPr>
              <w:t xml:space="preserve">Материал: Углеродистая сталь, футеровка полиэтиленом РЕ500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Концентрат 60 м³, кек 20 м³, цементная медь 10 м³, оборотные материалы 50 м³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Изготовление</w:t>
            </w:r>
          </w:p>
          <w:p>
            <w:r>
              <w:rPr>
                <w:color w:val="666666"/>
                <w:sz w:val="16"/>
              </w:rPr>
              <w:t xml:space="preserve">Хранение сменного запаса медного концентрата, кека NNH, цементной меди, огарка для запуска печи КС, возврат пыли электрофильтра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1.06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Расходные бункера шихты</w:t>
            </w:r>
          </w:p>
          <w:p>
            <w:r>
              <w:rPr>
                <w:color w:val="666666"/>
                <w:sz w:val="16"/>
              </w:rPr>
              <w:t xml:space="preserve">Цилиндрические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Объём на смену — 60 м³</w:t>
            </w:r>
          </w:p>
          <w:p>
            <w:r>
              <w:rPr>
                <w:sz w:val="17"/>
              </w:rPr>
              <w:t xml:space="preserve">Материал: Углеродистая сталь, футеровка полиэтиленом РЕ500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Изготовление</w:t>
            </w:r>
          </w:p>
          <w:p>
            <w:r>
              <w:rPr>
                <w:color w:val="666666"/>
                <w:sz w:val="16"/>
              </w:rPr>
              <w:t xml:space="preserve">Бесперебойное питание печи КС шихтой постоянного состава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1.07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Дисковый (тарельчатый) питатель</w:t>
            </w:r>
          </w:p>
          <w:p>
            <w:r>
              <w:rPr>
                <w:color w:val="666666"/>
                <w:sz w:val="16"/>
              </w:rPr>
              <w:t xml:space="preserve">ZC-300 / ZC-800 / ZC-1200 / ZC-1500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ZC-300 до 3,6 т/ч; ZC-800 до 8 т/ч; ZC-1200 до 18 т/ч; ZC-1500 до 22 т/ч</w:t>
            </w:r>
          </w:p>
          <w:p>
            <w:r>
              <w:rPr>
                <w:sz w:val="17"/>
              </w:rPr>
              <w:t xml:space="preserve">Габариты/НЗП: Концентрат Ø1200 Н100; кек Ø800 Н100; медь Ø300 Н100; оборотные Ø300 Н100 мм</w:t>
            </w:r>
          </w:p>
          <w:p>
            <w:r>
              <w:rPr>
                <w:sz w:val="17"/>
              </w:rPr>
              <w:t xml:space="preserve">Мощность: 0,75–3 кВт</w:t>
            </w:r>
          </w:p>
          <w:p>
            <w:r>
              <w:rPr>
                <w:sz w:val="17"/>
              </w:rPr>
              <w:t xml:space="preserve">Материал: ZC-300 (цементная медь) и ZC-1500 (шихта) — нержавеющая сталь; остальные — углеродистая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2×ZC-300, 1×ZC-800, 1×ZC-1200, 2×ZC-1500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Дозированная подача компонентов шихты на смешение и подача шихты в печь КС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1.08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Дозатор ленточный</w:t>
            </w:r>
          </w:p>
          <w:p>
            <w:r>
              <w:rPr>
                <w:color w:val="666666"/>
                <w:sz w:val="16"/>
              </w:rPr>
              <w:t xml:space="preserve">4488 ДН-У-1-X-40-1800-0-0.X (X = 3,2; 4; 5; 16; 25)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по индексу X: до 3,2 / 4 / 5 / 16 / 25 т/ч</w:t>
            </w:r>
          </w:p>
          <w:p>
            <w:r>
              <w:rPr>
                <w:sz w:val="17"/>
              </w:rPr>
              <w:t xml:space="preserve">Габариты/НЗП: Лента 500 мм, погонная нагрузка 40 кг/м</w:t>
            </w:r>
          </w:p>
          <w:p>
            <w:r>
              <w:rPr>
                <w:sz w:val="17"/>
              </w:rPr>
              <w:t xml:space="preserve">Мощность: 0,55–1,5 кВт</w:t>
            </w:r>
          </w:p>
          <w:p>
            <w:r>
              <w:rPr>
                <w:sz w:val="17"/>
              </w:rPr>
              <w:t xml:space="preserve">Материал: X=3,2 и 25 — нержавеющая сталь и кислотоупорная резина; остальные — углеродистая сталь и обычная резина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по 1 шт. на X=3,2; 4; 5; 16 и 2 шт. на X=25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Регулировка подачи компонентов шихты на смешение и подачи шихты в печь КС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1.09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Шнековый смеситель</w:t>
            </w:r>
          </w:p>
          <w:p>
            <w:r>
              <w:rPr>
                <w:color w:val="666666"/>
                <w:sz w:val="16"/>
              </w:rPr>
              <w:t xml:space="preserve">СШ-25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10–25 т/ч</w:t>
            </w:r>
          </w:p>
          <w:p>
            <w:r>
              <w:rPr>
                <w:sz w:val="17"/>
              </w:rPr>
              <w:t xml:space="preserve">Габариты/НЗП: Рабочий объём 3,8 м³</w:t>
            </w:r>
          </w:p>
          <w:p>
            <w:r>
              <w:rPr>
                <w:sz w:val="17"/>
              </w:rPr>
              <w:t xml:space="preserve">Мощность: 37 кВт</w:t>
            </w:r>
          </w:p>
          <w:p>
            <w:r>
              <w:rPr>
                <w:sz w:val="17"/>
              </w:rPr>
              <w:t xml:space="preserve">Материал: Нержавеющая сталь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Приготовление шихты для обжига в печи КС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1.10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Шнековый забрасыватель шихты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до 20 т/ч</w:t>
            </w:r>
          </w:p>
          <w:p>
            <w:r>
              <w:rPr>
                <w:sz w:val="17"/>
              </w:rPr>
              <w:t xml:space="preserve">Габариты/НЗП: Ø150, L1500 мм</w:t>
            </w:r>
          </w:p>
          <w:p>
            <w:r>
              <w:rPr>
                <w:sz w:val="17"/>
              </w:rPr>
              <w:t xml:space="preserve">Мощность: 3,5 кВт</w:t>
            </w:r>
          </w:p>
          <w:p>
            <w:r>
              <w:rPr>
                <w:sz w:val="17"/>
              </w:rPr>
              <w:t xml:space="preserve">Материал: Нержавеющая жаропрочная сталь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Подача шихты в печь КС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1.11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Мазутная горелка (подогрев дутья)</w:t>
            </w:r>
          </w:p>
          <w:p>
            <w:r>
              <w:rPr>
                <w:color w:val="666666"/>
                <w:sz w:val="16"/>
              </w:rPr>
              <w:t xml:space="preserve">ГМ-4,5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до 464 кг/ч по мазуту; коэффициент рабочего регулирования тепловой мощности</w:t>
            </w:r>
          </w:p>
          <w:p>
            <w:r>
              <w:rPr>
                <w:sz w:val="17"/>
              </w:rPr>
              <w:t xml:space="preserve">Материал: Углеродистая сталь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Подогрев дутья перед подачей в печь КС (вспомогательный вариант)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1.12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Мазутная горелка (разогрев печи)</w:t>
            </w:r>
          </w:p>
          <w:p>
            <w:r>
              <w:rPr>
                <w:color w:val="666666"/>
                <w:sz w:val="16"/>
              </w:rPr>
              <w:t xml:space="preserve">МГМГ-10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до 940 кг/ч по мазуту</w:t>
            </w:r>
          </w:p>
          <w:p>
            <w:r>
              <w:rPr>
                <w:sz w:val="17"/>
              </w:rPr>
              <w:t xml:space="preserve">Материал: Углеродистая сталь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Подогрев огарка в печи КС после продолжительной остановки на ремонт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1.13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Печь кипящего слоя (КС)</w:t>
            </w:r>
          </w:p>
          <w:p>
            <w:r>
              <w:rPr>
                <w:color w:val="666666"/>
                <w:sz w:val="16"/>
              </w:rPr>
              <w:t xml:space="preserve">Характеристики по ИД ч.1 табл. 23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Производительность 10–16 т/ч</w:t>
            </w:r>
          </w:p>
          <w:p>
            <w:r>
              <w:rPr>
                <w:sz w:val="17"/>
              </w:rPr>
              <w:t xml:space="preserve">Габариты/НЗП: Единомоментное количество огарка в печи — 139,0 т</w:t>
            </w:r>
          </w:p>
          <w:p>
            <w:r>
              <w:rPr>
                <w:sz w:val="17"/>
              </w:rPr>
              <w:t xml:space="preserve">Материал: Корпус — углеродистая сталь, листовой асбест, шамотный кирпич; подина — жаропрочная сталь и бетон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Изготовление</w:t>
            </w:r>
          </w:p>
          <w:p>
            <w:r>
              <w:rPr>
                <w:color w:val="666666"/>
                <w:sz w:val="16"/>
              </w:rPr>
              <w:t xml:space="preserve">Окислительный обжиг шихты на основе медного концентрата ОРФ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1.14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Воздуходувка дутьевая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Технологический воздух 6655 нм³/ч (25 °С) / 12 612 нм³/ч (455,3 °С); давление 0,09–0,12 МПа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по ТЗ на БИ, п. 3.4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Создание псевдоожиженного слоя в печи КС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1.15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Дроссельный затвор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Мощность: 1,0 кВт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Регулирование газового тракта печи КС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1.16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Котёл-утилизатор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До 30 000 нм³/ч; пар 1,9 МПа, 375 °С</w:t>
            </w:r>
          </w:p>
          <w:p>
            <w:r>
              <w:rPr>
                <w:sz w:val="17"/>
              </w:rPr>
              <w:t xml:space="preserve">Габариты/НЗП: Объём бункера пылесборника 15 м³; НЗП в газоходе «печь КС – КУ» 50 т пыли</w:t>
            </w:r>
          </w:p>
          <w:p>
            <w:r>
              <w:rPr>
                <w:sz w:val="17"/>
              </w:rPr>
              <w:t xml:space="preserve">Материал: Углеродистая сталь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Перепроектируется</w:t>
            </w:r>
          </w:p>
          <w:p>
            <w:r>
              <w:rPr>
                <w:color w:val="666666"/>
                <w:sz w:val="16"/>
              </w:rPr>
              <w:t xml:space="preserve">Охлаждение и рекуперация тепла отходящего газа, улавливание «грубой» пыли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1.17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Одиночный циклон</w:t>
            </w:r>
          </w:p>
          <w:p>
            <w:r>
              <w:rPr>
                <w:color w:val="666666"/>
                <w:sz w:val="16"/>
              </w:rPr>
              <w:t xml:space="preserve">СЦН-50-1800×1УП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До 32 000 м³/ч</w:t>
            </w:r>
          </w:p>
          <w:p>
            <w:r>
              <w:rPr>
                <w:sz w:val="17"/>
              </w:rPr>
              <w:t xml:space="preserve">Габариты/НЗП: Объём бункера пылесборника 8,5 м³; НЗП в газоходе «КУ – циклон» 50 т</w:t>
            </w:r>
          </w:p>
          <w:p>
            <w:r>
              <w:rPr>
                <w:sz w:val="17"/>
              </w:rPr>
              <w:t xml:space="preserve">Материал: Сталь 12Х18Н10Т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Очистка газа от пыли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1.18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Сухой электрофильтр</w:t>
            </w:r>
          </w:p>
          <w:p>
            <w:r>
              <w:rPr>
                <w:color w:val="666666"/>
                <w:sz w:val="16"/>
              </w:rPr>
              <w:t xml:space="preserve">УГТ1-20-4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До 57 600 м³/ч; электропитание 80 кВ</w:t>
            </w:r>
          </w:p>
          <w:p>
            <w:r>
              <w:rPr>
                <w:sz w:val="17"/>
              </w:rPr>
              <w:t xml:space="preserve">Габариты/НЗП: Объём бункера пылесборника 10 м³; НЗП в газоходе «циклон – ЭФ» 10 т</w:t>
            </w:r>
          </w:p>
          <w:p>
            <w:r>
              <w:rPr>
                <w:sz w:val="17"/>
              </w:rPr>
              <w:t xml:space="preserve">Мощность: 0,4×80 кВ</w:t>
            </w:r>
          </w:p>
          <w:p>
            <w:r>
              <w:rPr>
                <w:sz w:val="17"/>
              </w:rPr>
              <w:t xml:space="preserve">Материал: Сталь 12Х18Н10Т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Очистка газа от пыли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1.19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Дымосос</w:t>
            </w:r>
          </w:p>
          <w:p>
            <w:r>
              <w:rPr>
                <w:color w:val="666666"/>
                <w:sz w:val="16"/>
              </w:rPr>
              <w:t xml:space="preserve">ДН-15БНЖ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До 78 000 м³/ч</w:t>
            </w:r>
          </w:p>
          <w:p>
            <w:r>
              <w:rPr>
                <w:sz w:val="17"/>
              </w:rPr>
              <w:t xml:space="preserve">Мощность: 400 кВт, 6000 В</w:t>
            </w:r>
          </w:p>
          <w:p>
            <w:r>
              <w:rPr>
                <w:sz w:val="17"/>
              </w:rPr>
              <w:t xml:space="preserve">Материал: Сталь 12Х18Н10Т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Перемещение газа по газовому тракту, подача очищенного газа в СКЦ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1.20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Шнековый холодильник огарка и грубой пыли</w:t>
            </w:r>
          </w:p>
          <w:p>
            <w:r>
              <w:rPr>
                <w:color w:val="666666"/>
                <w:sz w:val="16"/>
              </w:rPr>
              <w:t xml:space="preserve">D2424-6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До 15 т/ч; оборотная вода 176,9 т/ч (0,6 МПа, 25→35 °С)</w:t>
            </w:r>
          </w:p>
          <w:p>
            <w:r>
              <w:rPr>
                <w:sz w:val="17"/>
              </w:rPr>
              <w:t xml:space="preserve">Габариты/НЗП: 2 шнека Ø610, L7315 мм</w:t>
            </w:r>
          </w:p>
          <w:p>
            <w:r>
              <w:rPr>
                <w:sz w:val="17"/>
              </w:rPr>
              <w:t xml:space="preserve">Мощность: 15 кВт</w:t>
            </w:r>
          </w:p>
          <w:p>
            <w:r>
              <w:rPr>
                <w:sz w:val="17"/>
              </w:rPr>
              <w:t xml:space="preserve">Материал: Сталь 316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Охлаждение огарка и пыли КУ и одиночного циклона до 70 °С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1.21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Шнековый холодильник тонкой пыли</w:t>
            </w:r>
          </w:p>
          <w:p>
            <w:r>
              <w:rPr>
                <w:color w:val="666666"/>
                <w:sz w:val="16"/>
              </w:rPr>
              <w:t xml:space="preserve">S710-4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До 1 т/ч; оборотная вода 2,197 т/ч</w:t>
            </w:r>
          </w:p>
          <w:p>
            <w:r>
              <w:rPr>
                <w:sz w:val="17"/>
              </w:rPr>
              <w:t xml:space="preserve">Габариты/НЗП: 1 шнек Ø187, L3048 мм</w:t>
            </w:r>
          </w:p>
          <w:p>
            <w:r>
              <w:rPr>
                <w:sz w:val="17"/>
              </w:rPr>
              <w:t xml:space="preserve">Материал: Сталь 316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Охлаждение пыли электрофильтра до 70 °С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1.22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Приёмный бункер охлаждённого огарка и грубой пыли</w:t>
            </w:r>
          </w:p>
          <w:p>
            <w:r>
              <w:rPr>
                <w:color w:val="666666"/>
                <w:sz w:val="16"/>
              </w:rPr>
              <w:t xml:space="preserve">Типа силосной башни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Объём на сутки работы — 100 м³</w:t>
            </w:r>
          </w:p>
          <w:p>
            <w:r>
              <w:rPr>
                <w:sz w:val="17"/>
              </w:rPr>
              <w:t xml:space="preserve">Материал: Углеродистая сталь, футеровка полиэтиленом РЕ500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Изготовление или закуп</w:t>
            </w:r>
          </w:p>
          <w:p>
            <w:r>
              <w:rPr>
                <w:color w:val="666666"/>
                <w:sz w:val="16"/>
              </w:rPr>
              <w:t xml:space="preserve">Бесперебойное питание аппаратов ГМУ; отгрузка в автоцементовозы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1.23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Приёмный бункер охлаждённой тонкой пыли</w:t>
            </w:r>
          </w:p>
          <w:p>
            <w:r>
              <w:rPr>
                <w:color w:val="666666"/>
                <w:sz w:val="16"/>
              </w:rPr>
              <w:t xml:space="preserve">Типа силосной башни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Объём на сутки работы — 10 м³</w:t>
            </w:r>
          </w:p>
          <w:p>
            <w:r>
              <w:rPr>
                <w:sz w:val="17"/>
              </w:rPr>
              <w:t xml:space="preserve">Материал: Углеродистая сталь, футеровка полиэтиленом РЕ500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Изготовление или закуп</w:t>
            </w:r>
          </w:p>
          <w:p>
            <w:r>
              <w:rPr>
                <w:color w:val="666666"/>
                <w:sz w:val="16"/>
              </w:rPr>
              <w:t xml:space="preserve">Бесперебойное питание аппаратов ГМУ; отгрузка в автоцементовозы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1.24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Барабанные вакуум-фильтры для пульпы медного концентрата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По ТЗ на БИ п. 3.4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Уточняется в БИ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Обезвоживание пульпы сгущённого медного концентрата ОРФ (влажность кека 10 %) с системой вакуумирования, отвода фильтрата и выгрузки кека в шнековый смеситель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1.25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Ёмкость приёма фильтрата после вакуум-фильтра с насосным оборудованием</w:t>
            </w:r>
          </w:p>
        </w:tc>
        <w:tc>
          <w:tcPr>
            <w:tcW w:w="5100" w:type="dxa"/>
          </w:tcPr>
          <w:p>
            <w:r>
              <w:rPr>
                <w:i/>
                <w:color w:val="8A6200"/>
                <w:sz w:val="17"/>
              </w:rPr>
              <w:t xml:space="preserve">уточняется по ТКП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Комплект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Приём и откачка фильтрата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1.26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Рукавный фильтр(ы) аспирации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По ТЗ на БИ п. 3.4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Уточняется в БИ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Очистка аспирационных газов от оборудования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1.27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Дымосос(ы) аспирации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По ТЗ на БИ п. 3.4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Уточняется в БИ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Эвакуация аспирационных газов и сброс очищенного газа на свечу</w:t>
            </w:r>
          </w:p>
        </w:tc>
      </w:tr>
    </w:tbl>
    <w:p>
      <w:pPr>
        <w:pStyle w:val="Heading2"/>
      </w:pPr>
      <w:r>
        <w:t xml:space="preserve">Лот №2 · Участок купоросов — 17 поз.</w:t>
      </w:r>
    </w:p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00"/>
        <w:gridCol w:w="3300"/>
        <w:gridCol w:w="5100"/>
        <w:gridCol w:w="1900"/>
        <w:gridCol w:w="600"/>
        <w:gridCol w:w="2770"/>
      </w:tblGrid>
      <w:tr>
        <w:tc>
          <w:tcPr>
            <w:tcW w:w="900" w:type="dxa"/>
            <w:shd w:val="clear" w:fill="EFEFEF"/>
          </w:tcPr>
          <w:p>
            <w:r>
              <w:rPr>
                <w:b/>
                <w:sz w:val="18"/>
              </w:rPr>
              <w:t xml:space="preserve">Позиция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</w:t>
            </w:r>
          </w:p>
        </w:tc>
        <w:tc>
          <w:tcPr>
            <w:tcW w:w="5100" w:type="dxa"/>
            <w:shd w:val="clear" w:fill="EFEFEF"/>
          </w:tcPr>
          <w:p>
            <w:r>
              <w:rPr>
                <w:b/>
                <w:sz w:val="18"/>
              </w:rPr>
              <w:t xml:space="preserve">Ключевые параметры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600" w:type="dxa"/>
            <w:shd w:val="clear" w:fill="EFEFEF"/>
          </w:tcPr>
          <w:p>
            <w:r>
              <w:rPr>
                <w:b/>
                <w:sz w:val="18"/>
              </w:rPr>
              <w:t xml:space="preserve">Лот</w:t>
            </w:r>
          </w:p>
        </w:tc>
        <w:tc>
          <w:tcPr>
            <w:tcW w:w="2770" w:type="dxa"/>
            <w:shd w:val="clear" w:fill="EFEFEF"/>
          </w:tcPr>
          <w:p>
            <w:r>
              <w:rPr>
                <w:b/>
                <w:sz w:val="18"/>
              </w:rPr>
              <w:t xml:space="preserve">Примечание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4.1.1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Испаритель I ступени (выпарной аппарат)</w:t>
            </w:r>
          </w:p>
          <w:p>
            <w:r>
              <w:rPr>
                <w:color w:val="666666"/>
                <w:sz w:val="16"/>
              </w:rPr>
              <w:t xml:space="preserve">УУСС: испаритель EV-2 с выносным нагревателем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Напряжённость 22 800 м³/(м²·ч) по соковому пару; поток 49 417 м³/ч; расчётный D 2,17 м</w:t>
            </w:r>
          </w:p>
          <w:p>
            <w:r>
              <w:rPr>
                <w:sz w:val="17"/>
              </w:rPr>
              <w:t xml:space="preserve">Габариты/НЗП: D = 2,0 м; факт. 3,1 м²; коэфф. запаса 1,4</w:t>
            </w:r>
          </w:p>
          <w:p>
            <w:r>
              <w:rPr>
                <w:sz w:val="17"/>
              </w:rPr>
              <w:t xml:space="preserve">Материал: Сталь 904L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 (1 нитка)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Вакуумная кристаллизация оборотного медного купороса, I ступень</w:t>
            </w:r>
          </w:p>
          <w:p>
            <w:r>
              <w:rPr>
                <w:color w:val="444444"/>
                <w:sz w:val="16"/>
              </w:rPr>
              <w:t xml:space="preserve">Обогрев глухим паром, t = 40 °С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4.1.2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Испаритель II ступени (выпарной аппарат)</w:t>
            </w:r>
          </w:p>
          <w:p>
            <w:r>
              <w:rPr>
                <w:color w:val="666666"/>
                <w:sz w:val="16"/>
              </w:rPr>
              <w:t xml:space="preserve">УУСС: испаритель EV-2 с принудительной циркуляцией, под доп. разрежением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Напряжённость 22 000 м³/(м²·ч); поток 23 032 м³/ч; расчётный D 1,05 м</w:t>
            </w:r>
          </w:p>
          <w:p>
            <w:r>
              <w:rPr>
                <w:sz w:val="17"/>
              </w:rPr>
              <w:t xml:space="preserve">Габариты/НЗП: D = 2,0 м; факт. 3,1 м²; коэфф. запаса 3,0</w:t>
            </w:r>
          </w:p>
          <w:p>
            <w:r>
              <w:rPr>
                <w:sz w:val="17"/>
              </w:rPr>
              <w:t xml:space="preserve">Материал: Сталь 904L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Вакуумная кристаллизация медного купороса, II ступень</w:t>
            </w:r>
          </w:p>
          <w:p>
            <w:r>
              <w:rPr>
                <w:color w:val="444444"/>
                <w:sz w:val="16"/>
              </w:rPr>
              <w:t xml:space="preserve">t = 20 °С; работа за счёт более глубокого разрежения от парового эжектора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4.1.2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Паровой эжектор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288 кг/ч по соковому пару; Q расч. 375 кг/ч; P = 0,013 атм (10 мм рт. ст.)</w:t>
            </w:r>
          </w:p>
          <w:p>
            <w:r>
              <w:rPr>
                <w:sz w:val="17"/>
              </w:rPr>
              <w:t xml:space="preserve">Габариты/НЗП: коэфф. запаса 1,3</w:t>
            </w:r>
          </w:p>
          <w:p>
            <w:r>
              <w:rPr>
                <w:sz w:val="17"/>
              </w:rPr>
              <w:t xml:space="preserve">Материал: Сталь 904L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Создание глубокого разрежения на II ступени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4.1.3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Барометрический конденсатор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Поток 3,24 т/ч; Q расч. 4,5 т/ч; P = 0,075 атм (55 мм рт. ст.)</w:t>
            </w:r>
          </w:p>
          <w:p>
            <w:r>
              <w:rPr>
                <w:sz w:val="17"/>
              </w:rPr>
              <w:t xml:space="preserve">Габариты/НЗП: коэфф. запаса 1,4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Конденсация сокового пара испарителей и пара эжектора, орошение холодной оборотной водой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4.1.4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Репульпатор (реактор с мешалкой)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Запас объёма 0,5 ч; поток 2,5 м³/ч; расч. 1,27 м³</w:t>
            </w:r>
          </w:p>
          <w:p>
            <w:r>
              <w:rPr>
                <w:sz w:val="17"/>
              </w:rPr>
              <w:t xml:space="preserve">Габариты/НЗП: V = 2,5 м³; факт. 2,0 м³; коэфф. запаса 1,6</w:t>
            </w:r>
          </w:p>
          <w:p>
            <w:r>
              <w:rPr>
                <w:sz w:val="17"/>
              </w:rPr>
              <w:t xml:space="preserve">Материал: Сталь 904L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Хранение пульпы медного купороса перед центрифугой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4.1.5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Бак маточника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Запас объёма 0,5 ч; поток 1,39 м³/ч; расч. 0,69 м³</w:t>
            </w:r>
          </w:p>
          <w:p>
            <w:r>
              <w:rPr>
                <w:sz w:val="17"/>
              </w:rPr>
              <w:t xml:space="preserve">Габариты/НЗП: V = 1,2 м³; факт. 1,0 м³; коэфф. запаса 1,4</w:t>
            </w:r>
          </w:p>
          <w:p>
            <w:r>
              <w:rPr>
                <w:sz w:val="17"/>
              </w:rPr>
              <w:t xml:space="preserve">Материал: Сталь 904L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Хранение маточника; обогревается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4.1.6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Пульсирующая (фильтрующая) центрифуга</w:t>
            </w:r>
          </w:p>
          <w:p>
            <w:r>
              <w:rPr>
                <w:color w:val="666666"/>
                <w:sz w:val="16"/>
              </w:rPr>
              <w:t xml:space="preserve">Фильтрующая центрифуга с пульсирующей выгрузкой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Поток 1,70 т/ч; Q расч. 2,5 т/ч</w:t>
            </w:r>
          </w:p>
          <w:p>
            <w:r>
              <w:rPr>
                <w:sz w:val="17"/>
              </w:rPr>
              <w:t xml:space="preserve">Габариты/НЗП: коэфф. запаса 1,5</w:t>
            </w:r>
          </w:p>
          <w:p>
            <w:r>
              <w:rPr>
                <w:sz w:val="17"/>
              </w:rPr>
              <w:t xml:space="preserve">Материал: Сталь 904L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Обезвоживание кристаллов медного купороса, I стадия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4.1.7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Репульпатор растворения купороса</w:t>
            </w:r>
          </w:p>
          <w:p>
            <w:r>
              <w:rPr>
                <w:color w:val="666666"/>
                <w:sz w:val="16"/>
              </w:rPr>
              <w:t xml:space="preserve">Два последовательных аппарата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Время контакта 1,0 ч; поток 5,93 м³/ч</w:t>
            </w:r>
          </w:p>
          <w:p>
            <w:r>
              <w:rPr>
                <w:sz w:val="17"/>
              </w:rPr>
              <w:t xml:space="preserve">Габариты/НЗП: V = 5,0 м³; факт. 8,0 м³; коэфф. запаса 1,3</w:t>
            </w:r>
          </w:p>
          <w:p>
            <w:r>
              <w:rPr>
                <w:sz w:val="17"/>
              </w:rPr>
              <w:t xml:space="preserve">Материал: Сталь 316L / полимер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Растворение медного купороса в растворе от электроэкстракции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4.1.23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Испаритель I ступени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Напряжённость 22 000 м³/(м²·ч); поток 17 647 м³/ч; расч. D 0,80 м</w:t>
            </w:r>
          </w:p>
          <w:p>
            <w:r>
              <w:rPr>
                <w:sz w:val="17"/>
              </w:rPr>
              <w:t xml:space="preserve">Габариты/НЗП: D = 1,3 м; коэфф. запаса 1,7</w:t>
            </w:r>
          </w:p>
          <w:p>
            <w:r>
              <w:rPr>
                <w:sz w:val="17"/>
              </w:rPr>
              <w:t xml:space="preserve">Материал: Сталь 904L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Вакуумная кристаллизация смешанного медно-никелевого купороса, I ступень, t = 40 °С</w:t>
            </w:r>
          </w:p>
          <w:p>
            <w:r>
              <w:rPr>
                <w:color w:val="444444"/>
                <w:sz w:val="16"/>
              </w:rPr>
              <w:t xml:space="preserve">Диаметр испарителей увеличен по результатам уточняющих расчётов, предоставляемых в ТР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4.1.24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Испаритель II ступени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Напряжённость 22 000 м³/(м²·ч); поток 5530 м³/ч; расч. D 0,25 м</w:t>
            </w:r>
          </w:p>
          <w:p>
            <w:r>
              <w:rPr>
                <w:sz w:val="17"/>
              </w:rPr>
              <w:t xml:space="preserve">Габариты/НЗП: D = 1,3 м; коэфф. запаса 5,3</w:t>
            </w:r>
          </w:p>
          <w:p>
            <w:r>
              <w:rPr>
                <w:sz w:val="17"/>
              </w:rPr>
              <w:t xml:space="preserve">Материал: Сталь 904L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Вакуумная кристаллизация смешанного купороса, II ступень, t = 20 °С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4.1.24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Паровой эжектор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69 кг/ч по соковому пару; Q расч. 90 кг/ч; P = 0,013 атм</w:t>
            </w:r>
          </w:p>
          <w:p>
            <w:r>
              <w:rPr>
                <w:sz w:val="17"/>
              </w:rPr>
              <w:t xml:space="preserve">Габариты/НЗП: коэфф. запаса 1,3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Создание разрежения на II ступени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4.1.25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Барометрический конденсатор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Поток 9,1 т/ч; Q расч. 12,0 т/ч; P = 0,075 атм</w:t>
            </w:r>
          </w:p>
          <w:p>
            <w:r>
              <w:rPr>
                <w:sz w:val="17"/>
              </w:rPr>
              <w:t xml:space="preserve">Габариты/НЗП: коэфф. запаса 1,3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Конденсация сокового пара, орошение холодной оборотной водой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4.1.26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Бак маточника 2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Запас объёма 12,0 ч; поток 0,80 м³/ч; расч. 9,64 м³</w:t>
            </w:r>
          </w:p>
          <w:p>
            <w:r>
              <w:rPr>
                <w:sz w:val="17"/>
              </w:rPr>
              <w:t xml:space="preserve">Габариты/НЗП: V = 16,0 м³; факт. 12,8 м³; коэфф. запаса 1,3</w:t>
            </w:r>
          </w:p>
          <w:p>
            <w:r>
              <w:rPr>
                <w:sz w:val="17"/>
              </w:rPr>
              <w:t xml:space="preserve">Материал: Сталь 904L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Хранение маточника; обогрев острым паром. Маточник направляется в ЦЭН — при транспортировке обеспечить t ≥ 30–40 °С либо разбавить водой на 15–20 %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4.1.27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Репульпатор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Запас объёма 0,5 ч; поток 1,2 м³/ч; расч. 0,60 м³</w:t>
            </w:r>
          </w:p>
          <w:p>
            <w:r>
              <w:rPr>
                <w:sz w:val="17"/>
              </w:rPr>
              <w:t xml:space="preserve">Габариты/НЗП: V = 1,2 м³; факт. 1,0 м³; коэфф. запаса 1,6</w:t>
            </w:r>
          </w:p>
          <w:p>
            <w:r>
              <w:rPr>
                <w:sz w:val="17"/>
              </w:rPr>
              <w:t xml:space="preserve">Материал: Сталь 904L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Хранение пульпы смешанного купороса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4.1.28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Пульсирующая (фильтрующая) центрифуга</w:t>
            </w:r>
          </w:p>
          <w:p>
            <w:r>
              <w:rPr>
                <w:color w:val="666666"/>
                <w:sz w:val="16"/>
              </w:rPr>
              <w:t xml:space="preserve">Фильтрующая центрифуга с пульсирующей выгрузкой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Поток 0,80 т/ч; Q расч. 1,5 т/ч</w:t>
            </w:r>
          </w:p>
          <w:p>
            <w:r>
              <w:rPr>
                <w:sz w:val="17"/>
              </w:rPr>
              <w:t xml:space="preserve">Габариты/НЗП: коэфф. запаса 1,9</w:t>
            </w:r>
          </w:p>
          <w:p>
            <w:r>
              <w:rPr>
                <w:sz w:val="17"/>
              </w:rPr>
              <w:t xml:space="preserve">Материал: Сталь 904L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Обезвоживание и промывка кристаллов смешанного купороса, II стадия</w:t>
            </w:r>
          </w:p>
          <w:p>
            <w:r>
              <w:rPr>
                <w:color w:val="444444"/>
                <w:sz w:val="16"/>
              </w:rPr>
              <w:t xml:space="preserve">Промывка первичным раствором из бака поз. 4.1.22; фугат — на II ступень выпарки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поз. 6 рис. 4.4/4.5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Пароэжекторный блок (ПЭБ)</w:t>
            </w:r>
          </w:p>
          <w:p>
            <w:r>
              <w:rPr>
                <w:color w:val="666666"/>
                <w:sz w:val="16"/>
              </w:rPr>
              <w:t xml:space="preserve">Эжектор + конденсатор ПЭБ + вакуум-насос</w:t>
            </w:r>
          </w:p>
        </w:tc>
        <w:tc>
          <w:tcPr>
            <w:tcW w:w="5100" w:type="dxa"/>
          </w:tcPr>
          <w:p>
            <w:r>
              <w:rPr>
                <w:i/>
                <w:color w:val="8A6200"/>
                <w:sz w:val="17"/>
              </w:rPr>
              <w:t xml:space="preserve">уточняется по ТКП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по 1 на нитку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Обеспечение вакуума в конденсаторе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2.17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Оборудование фасовки, пробоотбора и коммерческого учёта медно-никелевого купороса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Остаточная влажность купороса 4–6 %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Комплект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Фасовка в биг-беги с ПЭ-вкладышем, пробоотбор, весовой учёт</w:t>
            </w:r>
          </w:p>
        </w:tc>
      </w:tr>
    </w:tbl>
    <w:p>
      <w:pPr>
        <w:pStyle w:val="Heading2"/>
      </w:pPr>
      <w:r>
        <w:t xml:space="preserve">Лот №3 · Электроэкстракция — 14 поз.</w:t>
      </w:r>
    </w:p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00"/>
        <w:gridCol w:w="3300"/>
        <w:gridCol w:w="5100"/>
        <w:gridCol w:w="1900"/>
        <w:gridCol w:w="600"/>
        <w:gridCol w:w="2770"/>
      </w:tblGrid>
      <w:tr>
        <w:tc>
          <w:tcPr>
            <w:tcW w:w="900" w:type="dxa"/>
            <w:shd w:val="clear" w:fill="EFEFEF"/>
          </w:tcPr>
          <w:p>
            <w:r>
              <w:rPr>
                <w:b/>
                <w:sz w:val="18"/>
              </w:rPr>
              <w:t xml:space="preserve">Позиция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</w:t>
            </w:r>
          </w:p>
        </w:tc>
        <w:tc>
          <w:tcPr>
            <w:tcW w:w="5100" w:type="dxa"/>
            <w:shd w:val="clear" w:fill="EFEFEF"/>
          </w:tcPr>
          <w:p>
            <w:r>
              <w:rPr>
                <w:b/>
                <w:sz w:val="18"/>
              </w:rPr>
              <w:t xml:space="preserve">Ключевые параметры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600" w:type="dxa"/>
            <w:shd w:val="clear" w:fill="EFEFEF"/>
          </w:tcPr>
          <w:p>
            <w:r>
              <w:rPr>
                <w:b/>
                <w:sz w:val="18"/>
              </w:rPr>
              <w:t xml:space="preserve">Лот</w:t>
            </w:r>
          </w:p>
        </w:tc>
        <w:tc>
          <w:tcPr>
            <w:tcW w:w="2770" w:type="dxa"/>
            <w:shd w:val="clear" w:fill="EFEFEF"/>
          </w:tcPr>
          <w:p>
            <w:r>
              <w:rPr>
                <w:b/>
                <w:sz w:val="18"/>
              </w:rPr>
              <w:t xml:space="preserve">Примечание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4.2.1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Циркуляционный бак (бак питания ванн)</w:t>
            </w:r>
          </w:p>
          <w:p>
            <w:r>
              <w:rPr>
                <w:color w:val="666666"/>
                <w:sz w:val="16"/>
              </w:rPr>
              <w:t xml:space="preserve">Бак с перегородкой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Запас объёма 0,25 ч; поток 1634,5 м³/ч; расч. 408,6 м³</w:t>
            </w:r>
          </w:p>
          <w:p>
            <w:r>
              <w:rPr>
                <w:sz w:val="17"/>
              </w:rPr>
              <w:t xml:space="preserve">Габариты/НЗП: V = 300,0 м³ на нитку; факт. 510,0 м³; коэфф. запаса 1,2</w:t>
            </w:r>
          </w:p>
          <w:p>
            <w:r>
              <w:rPr>
                <w:sz w:val="17"/>
              </w:rPr>
              <w:t xml:space="preserve">Материал: Конструкционная сталь или армированный бетон с кислотоупорной футеровкой; допускается изготовление по месту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 (по числу серий)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Изготовление</w:t>
            </w:r>
          </w:p>
          <w:p>
            <w:r>
              <w:rPr>
                <w:color w:val="666666"/>
                <w:sz w:val="16"/>
              </w:rPr>
              <w:t xml:space="preserve">Смешение богатого раствора выщелачивания с бедным электролитом из ванн, приём растворов промывки катодов и системы аспирации, дозирование коллоидной/антиаэрозольной добавки и кислоты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4.2.2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Холодильник электролита пластинчатый</w:t>
            </w:r>
          </w:p>
          <w:p>
            <w:r>
              <w:rPr>
                <w:color w:val="666666"/>
                <w:sz w:val="16"/>
              </w:rPr>
              <w:t xml:space="preserve">Пластинчатый теплообменник, охлаждение водой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Тепловая мощность 3772 кВт расчётная; 50,0 → 48,2 °С по потоку 1634,5 м³/ч; 22,5 → 37,5 °С по воде 216,1 м³/ч</w:t>
            </w:r>
          </w:p>
          <w:p>
            <w:r>
              <w:rPr>
                <w:sz w:val="17"/>
              </w:rPr>
              <w:t xml:space="preserve">Габариты/НЗП: W = 2500 кВт на нитку; факт. 5000 кВт; коэфф. запаса 1,3</w:t>
            </w:r>
          </w:p>
          <w:p>
            <w:r>
              <w:rPr>
                <w:sz w:val="17"/>
              </w:rPr>
              <w:t xml:space="preserve">Материал: Сталь 316L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 (по числу серий)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Охлаждение богатого раствора перед подачей в ванны</w:t>
            </w:r>
          </w:p>
          <w:p>
            <w:r>
              <w:rPr>
                <w:color w:val="444444"/>
                <w:sz w:val="16"/>
              </w:rPr>
              <w:t xml:space="preserve">В состав БИ по Лоту №3 теплообменники не включаются (перечень «не в БИ»), но параметры заданы ИД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4.2.3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Электролизная ванна</w:t>
            </w:r>
          </w:p>
          <w:p>
            <w:r>
              <w:rPr>
                <w:color w:val="666666"/>
                <w:sz w:val="16"/>
              </w:rPr>
              <w:t xml:space="preserve">Полимербетонные ванны Unicell или аналоги; характеристики по проекту ДЕЛЬТА (ИД ч.2, приложение В)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I факт = 42,45 кА; D расч = 280,0 А/м², D факт = 252,7 А/м²; производительность 49,49 кг/ч на ванну, 8066,1 кг/ч всего</w:t>
            </w:r>
          </w:p>
          <w:p>
            <w:r>
              <w:rPr>
                <w:sz w:val="17"/>
              </w:rPr>
              <w:t xml:space="preserve">Габариты/НЗП: Внутренние габариты 8485 × 1155 × 1650 мм (Д×Ш×В); 84 катода, 85 анодов</w:t>
            </w:r>
          </w:p>
          <w:p>
            <w:r>
              <w:rPr>
                <w:sz w:val="17"/>
              </w:rPr>
              <w:t xml:space="preserve">Материал: Полимербетон (монолитный винилэфирный композит)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180 (2 серии × 90); расчётно 163 шт., коэфф. запаса 1,104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Электроэкстракция меди из растворов</w:t>
            </w:r>
          </w:p>
          <w:p>
            <w:r>
              <w:rPr>
                <w:color w:val="444444"/>
                <w:sz w:val="16"/>
              </w:rPr>
              <w:t xml:space="preserve">Конструкция интегрирована с аспирацией: бортовой отсос + легкосъёмный колпак. Дно с уклоном к центру, донная пробка для выгрузки шлама. Чистка от свинцового шлама обычно не чаще 1 раза в год.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3.04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Аноды из свинцового сплава</w:t>
            </w:r>
          </w:p>
          <w:p>
            <w:r>
              <w:rPr>
                <w:color w:val="666666"/>
                <w:sz w:val="16"/>
              </w:rPr>
              <w:t xml:space="preserve">Pb-Ca / Pb-Ag сплавы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85 анодов на ванну; расход 2300 шт./год (0,033 шт. на т Cu)</w:t>
            </w:r>
          </w:p>
          <w:p>
            <w:r>
              <w:rPr>
                <w:sz w:val="17"/>
              </w:rPr>
              <w:t xml:space="preserve">Материал: Свинцовый сплав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180 × 85 = 15 300 шт. первичная загрузка (расчётно)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Аноды ванн электроэкстракции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3.05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Катодные матрицы (постоянные катоды)</w:t>
            </w:r>
          </w:p>
          <w:p>
            <w:r>
              <w:rPr>
                <w:color w:val="666666"/>
                <w:sz w:val="16"/>
              </w:rPr>
              <w:t xml:space="preserve">Система SPLIT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84 катода на ванну; расход 1150 шт./год (0,017 шт. на т Cu); масса катода 76,8 кг (6 сут) / 89,7 кг (7 сут) без массы матрицы</w:t>
            </w:r>
          </w:p>
          <w:p>
            <w:r>
              <w:rPr>
                <w:sz w:val="17"/>
              </w:rPr>
              <w:t xml:space="preserve">Материал: Нержавеющая сталь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180 × 84 = 15 120 шт. первичная загрузка (расчётно)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Матрицы для наращивания катодной меди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3.06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Аспирационные укрытия ванн</w:t>
            </w:r>
          </w:p>
          <w:p>
            <w:r>
              <w:rPr>
                <w:color w:val="666666"/>
                <w:sz w:val="16"/>
              </w:rPr>
              <w:t xml:space="preserve">Бортовой отсос + легкосъёмный колпак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Периодическая промывка коллекторов водой против накопления сухих солей; слив промывных растворов в буферную ёмкость или в питание скруббера</w:t>
            </w:r>
          </w:p>
          <w:p>
            <w:r>
              <w:rPr>
                <w:sz w:val="17"/>
              </w:rPr>
              <w:t xml:space="preserve">Материал: Коррозионностойкое исполнение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180 комплектов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Локальная аспирация ванн, исключающая достижение точки росы под колпаками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3.07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Ошиновка ванн</w:t>
            </w:r>
          </w:p>
          <w:p>
            <w:r>
              <w:rPr>
                <w:color w:val="666666"/>
                <w:sz w:val="16"/>
              </w:rPr>
              <w:t xml:space="preserve">Конструкция с двойным контактом разработки Outotec или аналоги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Материал: Медь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Комплект на 180 ванн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Токоподвод с уравнительной шиной для анодов и/или катодов — равномерное распределение тока, работа при более высоких плотностях тока и выходе по току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3.08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Роботизированная катодосдирочная машина (КСМ)</w:t>
            </w:r>
          </w:p>
          <w:p>
            <w:r>
              <w:rPr>
                <w:color w:val="666666"/>
                <w:sz w:val="16"/>
              </w:rPr>
              <w:t xml:space="preserve">Референс — поставка Outotec: роботы KUKA KR 300 (подающий) и KR 180 (выгружающий)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Расчётная производительность 105 шт./ч, принято 120 шт./ч (референс Outotec — 250 матриц/ч); точность позиционирования до 1 мм; персонал 1 чел.</w:t>
            </w:r>
          </w:p>
          <w:p>
            <w:r>
              <w:rPr>
                <w:sz w:val="17"/>
              </w:rPr>
              <w:t xml:space="preserve">Габариты/НЗП: Установленная мощность 125 кВт, потребляемая 105 кВт; 380 В 50 Гц, управление 220 В; гидравлика 120 бар, пневматика 6 бар; охлаждающая вода 1,5 бар, ≤30 °С, 25 л/мин; промывка I ст. 25 м³/ч 60–80 °С, II ст. 4 м³/ч 90–115 °С</w:t>
            </w:r>
          </w:p>
          <w:p>
            <w:r>
              <w:rPr>
                <w:sz w:val="17"/>
              </w:rPr>
              <w:t xml:space="preserve">Материал: Конструкционная и нержавеющая сталь, ПВХ, полипропилен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Полный цикл обработки катодов: промывка, отделение осадка от матриц, оптический контроль и разбраковка, пакетирование, автоматический пробоотбор</w:t>
            </w:r>
          </w:p>
          <w:p>
            <w:r>
              <w:rPr>
                <w:color w:val="444444"/>
                <w:sz w:val="16"/>
              </w:rPr>
              <w:t xml:space="preserve">Обязательно: разделение двух пластин без сращивания по нижней кромке; электронный реестр парка матриц; «перфорация» пакета профилированием листов; пакеты 1400–2000 кг (по сбыту — 2500 ± 50 кг, увязка тремя коррозионностойкими лентами)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3.09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Оборудование формирования пакетов катодов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Пакеты 1400–2000 кг (сбыт требует 2500 ± 50 кг)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Комплект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Укладка, весовой контроль, маркировка, увязка, «перфорация» пакета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3.10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Оборудование автоматической изоляции кромок матриц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Полипропиленовый профиль — расход 2770 кг/год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Комплект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Нанесение изоляции кромок катодных матриц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3.11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Специальные автоматические краны с системой позиционирования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График выгрузки формируется в зависимости от плана-задания и токовой нагрузки; комплектуются бороной и поддоном для сбора проливов; рекомендуется система ИК-датчиков контроля контактного хозяйства и КЗ в ваннах</w:t>
            </w:r>
          </w:p>
          <w:p>
            <w:r>
              <w:rPr>
                <w:sz w:val="17"/>
              </w:rPr>
              <w:t xml:space="preserve">Материал: Металлические элементы и оснастка — нерж. сталь 316L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 (по одному на серию/пролёт)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 / модернизация</w:t>
            </w:r>
          </w:p>
          <w:p>
            <w:r>
              <w:rPr>
                <w:color w:val="666666"/>
                <w:sz w:val="16"/>
              </w:rPr>
              <w:t xml:space="preserve">Съём/установка колпаков, выгрузка катодов (1/3 ванны с равномерным шагом), транспортировка в КСМ и обратно, пошаговая установка матриц; ручной режим — замена анодов и чистка ванн от шлама</w:t>
            </w:r>
          </w:p>
          <w:p>
            <w:r>
              <w:rPr>
                <w:color w:val="444444"/>
                <w:sz w:val="16"/>
              </w:rPr>
              <w:t xml:space="preserve">Рекомендуется использовать существующее подъёмно-транспортное оборудование ЦЭМ после модернизации (при необходимости)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3.12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Автоматизированная транспортировка пакетов катодной меди на СГП</w:t>
            </w:r>
          </w:p>
        </w:tc>
        <w:tc>
          <w:tcPr>
            <w:tcW w:w="5100" w:type="dxa"/>
          </w:tcPr>
          <w:p>
            <w:r>
              <w:rPr>
                <w:i/>
                <w:color w:val="8A6200"/>
                <w:sz w:val="17"/>
              </w:rPr>
              <w:t xml:space="preserve">уточняется по ТКП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Комплект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Передача пакетов в помещение склада готовой продукции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3.13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Ёмкости приготовления, хранения и дозирования коллоидной добавки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Объём обеспечивает работу от каждой ≥12 ч; тихоходные рамные мешалки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 (поочерёдно работающие)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Приготовление раствора гуартека (медленное растворение в тёплой воде при умеренном перемешивании) и дозирование в циркуляционные баки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3.14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Выпрямители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250 В (max) / 227 В (ном); I = 47,0 кА; коэфф. запаса 1,10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3 (по одному на серию + резервный, ошиновка позволяет резервному работать на любую серию)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Вне БИ по Лоту №3 (перечень «не включается»)</w:t>
            </w:r>
          </w:p>
          <w:p>
            <w:r>
              <w:rPr>
                <w:color w:val="666666"/>
                <w:sz w:val="16"/>
              </w:rPr>
              <w:t xml:space="preserve">Питание серий ванн постоянным током</w:t>
            </w:r>
          </w:p>
        </w:tc>
      </w:tr>
    </w:tbl>
    <w:p>
      <w:pPr>
        <w:pStyle w:val="Heading2"/>
      </w:pPr>
      <w:r>
        <w:t xml:space="preserve">Лот №4 · Склад готовой продукции — 5 поз.</w:t>
      </w:r>
    </w:p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00"/>
        <w:gridCol w:w="3300"/>
        <w:gridCol w:w="5100"/>
        <w:gridCol w:w="1900"/>
        <w:gridCol w:w="600"/>
        <w:gridCol w:w="2770"/>
      </w:tblGrid>
      <w:tr>
        <w:tc>
          <w:tcPr>
            <w:tcW w:w="900" w:type="dxa"/>
            <w:shd w:val="clear" w:fill="EFEFEF"/>
          </w:tcPr>
          <w:p>
            <w:r>
              <w:rPr>
                <w:b/>
                <w:sz w:val="18"/>
              </w:rPr>
              <w:t xml:space="preserve">Позиция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</w:t>
            </w:r>
          </w:p>
        </w:tc>
        <w:tc>
          <w:tcPr>
            <w:tcW w:w="5100" w:type="dxa"/>
            <w:shd w:val="clear" w:fill="EFEFEF"/>
          </w:tcPr>
          <w:p>
            <w:r>
              <w:rPr>
                <w:b/>
                <w:sz w:val="18"/>
              </w:rPr>
              <w:t xml:space="preserve">Ключевые параметры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600" w:type="dxa"/>
            <w:shd w:val="clear" w:fill="EFEFEF"/>
          </w:tcPr>
          <w:p>
            <w:r>
              <w:rPr>
                <w:b/>
                <w:sz w:val="18"/>
              </w:rPr>
              <w:t xml:space="preserve">Лот</w:t>
            </w:r>
          </w:p>
        </w:tc>
        <w:tc>
          <w:tcPr>
            <w:tcW w:w="2770" w:type="dxa"/>
            <w:shd w:val="clear" w:fill="EFEFEF"/>
          </w:tcPr>
          <w:p>
            <w:r>
              <w:rPr>
                <w:b/>
                <w:sz w:val="18"/>
              </w:rPr>
              <w:t xml:space="preserve">Примечание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4.01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Оборудование для защитной упаковки медных катодов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Исключить материалы, требующие особой сертификации или утилизации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Комплект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4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Защитная упаковка пакетов катодов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4.02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Оборудование для маркировки и подготовки к транспортировке пакетов</w:t>
            </w:r>
          </w:p>
        </w:tc>
        <w:tc>
          <w:tcPr>
            <w:tcW w:w="5100" w:type="dxa"/>
          </w:tcPr>
          <w:p>
            <w:r>
              <w:rPr>
                <w:i/>
                <w:color w:val="8A6200"/>
                <w:sz w:val="17"/>
              </w:rPr>
              <w:t xml:space="preserve">уточняется по ТКП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Комплект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4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Маркировка партий и подготовка к отгрузке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4.03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Оборудование коммерческого учёта и формирования партий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Класс точности весового оборудования — «высокий» (Прил. №5); поставка с калибровочными грузами и ЗИП на 2 года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Комплект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4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Взвешивание, учёт, формирование отгрузочных партий с оформлением стандартизированной сопроводительной документации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4.04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Оборудование отгрузки партий в ж/д и автомобильный транспорт</w:t>
            </w:r>
          </w:p>
        </w:tc>
        <w:tc>
          <w:tcPr>
            <w:tcW w:w="5100" w:type="dxa"/>
          </w:tcPr>
          <w:p>
            <w:r>
              <w:rPr>
                <w:i/>
                <w:color w:val="8A6200"/>
                <w:sz w:val="17"/>
              </w:rPr>
              <w:t xml:space="preserve">уточняется по ТКП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Комплект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4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Автоматическая отгрузка сформированных партий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4.05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Система автоматического складирования с подсистемами позиционирования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Алгоритм размещения стоп катодов автопогрузчиками-штабелёрами по размеченным линиям с памятью «что и где стоит»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Комплект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4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Приёмка пакетов с выходного конвейера КСМ, размещение по партиям, отгрузка — всё в автоматическом режиме</w:t>
            </w:r>
          </w:p>
        </w:tc>
      </w:tr>
    </w:tbl>
    <w:p>
      <w:pPr>
        <w:pStyle w:val="Heading2"/>
      </w:pPr>
      <w:r>
        <w:t xml:space="preserve">Вне лотов · стыки границ (справочно) — 7 поз.</w:t>
      </w:r>
    </w:p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00"/>
        <w:gridCol w:w="3300"/>
        <w:gridCol w:w="5100"/>
        <w:gridCol w:w="1900"/>
        <w:gridCol w:w="600"/>
        <w:gridCol w:w="2770"/>
      </w:tblGrid>
      <w:tr>
        <w:tc>
          <w:tcPr>
            <w:tcW w:w="900" w:type="dxa"/>
            <w:shd w:val="clear" w:fill="EFEFEF"/>
          </w:tcPr>
          <w:p>
            <w:r>
              <w:rPr>
                <w:b/>
                <w:sz w:val="18"/>
              </w:rPr>
              <w:t xml:space="preserve">Позиция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</w:t>
            </w:r>
          </w:p>
        </w:tc>
        <w:tc>
          <w:tcPr>
            <w:tcW w:w="5100" w:type="dxa"/>
            <w:shd w:val="clear" w:fill="EFEFEF"/>
          </w:tcPr>
          <w:p>
            <w:r>
              <w:rPr>
                <w:b/>
                <w:sz w:val="18"/>
              </w:rPr>
              <w:t xml:space="preserve">Ключевые параметры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600" w:type="dxa"/>
            <w:shd w:val="clear" w:fill="EFEFEF"/>
          </w:tcPr>
          <w:p>
            <w:r>
              <w:rPr>
                <w:b/>
                <w:sz w:val="18"/>
              </w:rPr>
              <w:t xml:space="preserve">Лот</w:t>
            </w:r>
          </w:p>
        </w:tc>
        <w:tc>
          <w:tcPr>
            <w:tcW w:w="2770" w:type="dxa"/>
            <w:shd w:val="clear" w:fill="EFEFEF"/>
          </w:tcPr>
          <w:p>
            <w:r>
              <w:rPr>
                <w:b/>
                <w:sz w:val="18"/>
              </w:rPr>
              <w:t xml:space="preserve">Примечание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4.1.10, 4.1.11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Головные реакторы-репульпаторы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Время контакта 0,05 ч; поток 124,7 м³/ч; расч. 6,2 м³</w:t>
            </w:r>
          </w:p>
          <w:p>
            <w:r>
              <w:rPr>
                <w:sz w:val="17"/>
              </w:rPr>
              <w:t xml:space="preserve">Габариты/НЗП: V = 10,0 м³; факт. 16 м³; коэфф. запаса 2,6</w:t>
            </w:r>
          </w:p>
          <w:p>
            <w:r>
              <w:rPr>
                <w:sz w:val="17"/>
              </w:rPr>
              <w:t xml:space="preserve">Материал: Hastelloy G-35 (Haynes Int.) или аналог; допустима сталь 904L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 параллельно (один дублирует другой на период чистки гарнисажа)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Вне БИ</w:t>
            </w:r>
          </w:p>
          <w:p>
            <w:r>
              <w:rPr>
                <w:color w:val="666666"/>
                <w:sz w:val="16"/>
              </w:rPr>
              <w:t xml:space="preserve">Начало выщелачивания огарка; максимально интенсивное перемешивание, коническое днище, рециркуляция пульпы либо воздушный аэролифт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4.1.12–4.1.14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Основные реакторы каскада выщелачивания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Время контакта 2,0 ч; поток 124,7 м³/ч; расч. 249,5 м³</w:t>
            </w:r>
          </w:p>
          <w:p>
            <w:r>
              <w:rPr>
                <w:sz w:val="17"/>
              </w:rPr>
              <w:t xml:space="preserve">Габариты/НЗП: V = 90 м³; факт. 288 м³; коэфф. запаса 1,2</w:t>
            </w:r>
          </w:p>
          <w:p>
            <w:r>
              <w:rPr>
                <w:sz w:val="17"/>
              </w:rPr>
              <w:t xml:space="preserve">Материал: Hastelloy G-35 или 904L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4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Вне БИ</w:t>
            </w:r>
          </w:p>
          <w:p>
            <w:r>
              <w:rPr>
                <w:color w:val="666666"/>
                <w:sz w:val="16"/>
              </w:rPr>
              <w:t xml:space="preserve">Основное выщелачивание огарка в оборотном растворе от электроэкстракции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4.1.15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Буферный реактор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Запас объёма 0,5 ч; расч. 62,4 м³</w:t>
            </w:r>
          </w:p>
          <w:p>
            <w:r>
              <w:rPr>
                <w:sz w:val="17"/>
              </w:rPr>
              <w:t xml:space="preserve">Габариты/НЗП: V = 90 м³; факт. 72 м³; коэфф. запаса 1,2</w:t>
            </w:r>
          </w:p>
          <w:p>
            <w:r>
              <w:rPr>
                <w:sz w:val="17"/>
              </w:rPr>
              <w:t xml:space="preserve">Материал: Hastelloy G-35 или 904L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Вне БИ</w:t>
            </w:r>
          </w:p>
          <w:p>
            <w:r>
              <w:rPr>
                <w:color w:val="666666"/>
                <w:sz w:val="16"/>
              </w:rPr>
              <w:t xml:space="preserve">Буфер перед сгустителем; приём пульпы фильтра контрольной фильтрации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4.1.16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Сгуститель остатка выщелачивания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Удельная нагрузка 12,0 кг/(м²·ч); поток 1717,1 кг/ч; расч. 143,1 м²</w:t>
            </w:r>
          </w:p>
          <w:p>
            <w:r>
              <w:rPr>
                <w:sz w:val="17"/>
              </w:rPr>
              <w:t xml:space="preserve">Габариты/НЗП: D = 15 м; факт. 176,6 м²; коэфф. запаса 1,2</w:t>
            </w:r>
          </w:p>
          <w:p>
            <w:r>
              <w:rPr>
                <w:sz w:val="17"/>
              </w:rPr>
              <w:t xml:space="preserve">Материал: 316L / полимер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Вне БИ</w:t>
            </w:r>
          </w:p>
          <w:p>
            <w:r>
              <w:rPr>
                <w:color w:val="666666"/>
                <w:sz w:val="16"/>
              </w:rPr>
              <w:t xml:space="preserve">Сгущение остатка выщелачивания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4.1.20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Намывные фильтры контрольной фильтрации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Удельная нагрузка 0,50 м³/(м²·ч); поток 130,0 м³/ч; расч. 259,9 м²</w:t>
            </w:r>
          </w:p>
          <w:p>
            <w:r>
              <w:rPr>
                <w:sz w:val="17"/>
              </w:rPr>
              <w:t xml:space="preserve">Габариты/НЗП: S = 120 м²; факт. 360 м²; коэфф. запаса 1,2</w:t>
            </w:r>
          </w:p>
          <w:p>
            <w:r>
              <w:rPr>
                <w:sz w:val="17"/>
              </w:rPr>
              <w:t xml:space="preserve">Материал: Hastelloy G-35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3 (параллельная работа)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Вне БИ</w:t>
            </w:r>
          </w:p>
          <w:p>
            <w:r>
              <w:rPr>
                <w:color w:val="666666"/>
                <w:sz w:val="16"/>
              </w:rPr>
              <w:t xml:space="preserve">Получение фильтрата с минимальным количеством твёрдого — питание Лотов №2 и №3</w:t>
            </w:r>
          </w:p>
          <w:p>
            <w:r>
              <w:rPr>
                <w:color w:val="444444"/>
                <w:sz w:val="16"/>
              </w:rPr>
              <w:t xml:space="preserve">Время набора осадка 90 % от продолжительности цикла; предусмотреть линии перефильтрации мутного фильтрата и проливов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4.1.17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Теплообменник подогрева бедного электролита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Тепловая мощность 1240 кВт расч.; 50,0 → 59,4 °С по 124,7 м³/ч; 75,0 → 65,6 °С по 129,5 м³/ч</w:t>
            </w:r>
          </w:p>
          <w:p>
            <w:r>
              <w:rPr>
                <w:sz w:val="17"/>
              </w:rPr>
              <w:t xml:space="preserve">Габариты/НЗП: W = 1500 кВт; коэфф. запаса 1,2</w:t>
            </w:r>
          </w:p>
          <w:p>
            <w:r>
              <w:rPr>
                <w:sz w:val="17"/>
              </w:rPr>
              <w:t xml:space="preserve">Материал: Hastelloy G-35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Вне БИ</w:t>
            </w:r>
          </w:p>
          <w:p>
            <w:r>
              <w:rPr>
                <w:color w:val="666666"/>
                <w:sz w:val="16"/>
              </w:rPr>
              <w:t xml:space="preserve">Подогрев оборотного раствора фильтратом от выщелачивания перед каскадом; пусковой подогрев паром</w:t>
            </w:r>
          </w:p>
          <w:p>
            <w:r>
              <w:rPr>
                <w:color w:val="444444"/>
                <w:sz w:val="16"/>
              </w:rPr>
              <w:t xml:space="preserve">Пластинчатый секционный; резервная секция на посекционную чистку от гипсовых инкрустаций; обходные линии для тонкого регулирования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4.1.29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Мембранный фильтр-пресс песков сгустителя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Удельная нагрузка 145,3 кг/(м²·ч); поток 1693,5 кг/ч; расч. 11,7 м²</w:t>
            </w:r>
          </w:p>
          <w:p>
            <w:r>
              <w:rPr>
                <w:sz w:val="17"/>
              </w:rPr>
              <w:t xml:space="preserve">Габариты/НЗП: S = 8,0 м²; факт. 16,0 м²; глубина камеры 50 мм; коэфф. запаса 1,4</w:t>
            </w:r>
          </w:p>
          <w:p>
            <w:r>
              <w:rPr>
                <w:sz w:val="17"/>
              </w:rPr>
              <w:t xml:space="preserve">Материал: 316L / полимер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 (параллельная работа)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Вне БИ</w:t>
            </w:r>
          </w:p>
          <w:p>
            <w:r>
              <w:rPr>
                <w:color w:val="666666"/>
                <w:sz w:val="16"/>
              </w:rPr>
              <w:t xml:space="preserve">Фильтрация и промывка песков сгустителя</w:t>
            </w:r>
          </w:p>
        </w:tc>
      </w:tr>
    </w:tbl>
    <w:p>
      <w:pPr>
        <w:pStyle w:val="Muted"/>
      </w:pPr>
      <w:r>
        <w:rPr>
          <w:color w:val="666666"/>
          <w:sz w:val="16"/>
        </w:rPr>
        <w:t xml:space="preserve">Сформировано ove/tools/build_specs.py из ove/data/equipment.json; опросные листы по ключевым классам — файлы ove75-ol-*.docx рядом.</w:t>
      </w:r>
    </w:p>
    <w:sectPr>
      <w:pgSz w:w="16838" w:h="11906" w:orient="landscape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perechen oborudovaniya</dc:title>
  <dc:creator>ООО «КВАНТ»</dc:creator>
  <cp:lastModifiedBy>ООО «КВАНТ»</cp:lastModifiedBy>
  <dcterms:created xsi:type="dcterms:W3CDTF">2026-08-27T09:00:00Z</dcterms:created>
  <dcterms:modified xsi:type="dcterms:W3CDTF">2026-08-27T09:00:00Z</dcterms:modified>
</cp:coreProperties>
</file>