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ОЛ-ОВЭ75-05</w:t>
      </w:r>
    </w:p>
    <w:p>
      <w:r>
        <w:rPr>
          <w:b/>
          <w:sz w:val="28"/>
        </w:rPr>
        <w:t xml:space="preserve">Дымосос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Дымосос · ДН-15БНЖ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ДН-15БНЖ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78 000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комплектация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п.380-392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400 кВт, 6000 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Динамика (частота возмущения, масса агрегата)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п.391-392,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Массы дымососа / двигателя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перемещаемого газа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п.403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Полное давление (напор)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1650–7800 Па)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Регулирование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рекомендован ЧРП — подтвердить схему регулирования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Класс балансировки ротора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два канала на опору — горизонтальное и вертикальное направления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ЧРП — обязательное решение вместо направляющего аппарата (нормировано 400 кВт при потребных 150–250 кВт; экономия 0,7–1,2 ГВт·ч/год); регулирование по разрежению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токовая диагностика двигателя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измерительные трансформаторы тока фидера 6 кВ под токосигнатурный анализ двигателя 400 кВт — требование в задание на КРУ 6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выдача значений (не битовых статусов) вибрации, температур подшипников, наработки, счётчиков пусков и токов по Modbus TCP; карта регистров — в составе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dymosos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