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BFBFBF" w:sz="6" w:space="4"/>
        </w:pBdr>
        <w:spacing w:before="0" w:after="200"/>
      </w:pPr>
      <w:r>
        <w:rPr>
          <w:rFonts w:ascii="Calibri" w:hAnsi="Calibri" w:eastAsia="Calibri"/>
          <w:b/>
          <w:bCs/>
          <w:i w:val="false"/>
          <w:iCs w:val="false"/>
          <w:color w:val="595959"/>
          <w:sz w:val="18"/>
          <w:szCs w:val="18"/>
        </w:rPr>
        <w:t xml:space="preserve">Part 1 — English</w:t>
      </w:r>
    </w:p>
    <w:p>
      <w:pPr>
        <w:spacing w:before="0" w:after="200" w:line="276"/>
        <w:jc w:val="left"/>
      </w:pPr>
      <w:r>
        <w:rPr>
          <w:rFonts w:ascii="Calibri" w:hAnsi="Calibri" w:eastAsia="Calibri"/>
          <w:b/>
          <w:bCs/>
          <w:i w:val="false"/>
          <w:iCs w:val="false"/>
          <w:sz w:val="28"/>
          <w:szCs w:val="28"/>
        </w:rPr>
        <w:t xml:space="preserve">Request for Budgetary Technical and Commercial Proposal No. OVE75-RFQ-14</w:t>
      </w:r>
    </w:p>
    <w:p>
      <w:pPr>
        <w:spacing w:before="0" w:after="200" w:line="264"/>
      </w:pPr>
      <w:r>
        <w:rPr>
          <w:rFonts w:ascii="Calibri" w:hAnsi="Calibri" w:eastAsia="Calibri"/>
          <w:b/>
          <w:bCs/>
          <w:i w:val="false"/>
          <w:iCs w:val="false"/>
          <w:sz w:val="20"/>
          <w:szCs w:val="20"/>
        </w:rPr>
        <w:t xml:space="preserve">Subject: </w:t>
      </w:r>
      <w:r>
        <w:rPr>
          <w:rFonts w:ascii="Calibri" w:hAnsi="Calibri" w:eastAsia="Calibri"/>
          <w:b w:val="false"/>
          <w:bCs w:val="false"/>
          <w:i w:val="false"/>
          <w:iCs w:val="false"/>
          <w:sz w:val="20"/>
          <w:szCs w:val="20"/>
        </w:rPr>
        <w:t xml:space="preserve">Lead-alloy anodes, approx. 15,300 off.</w:t>
      </w:r>
    </w:p>
    <w:p>
      <w:pPr>
        <w:spacing w:before="0" w:after="160" w:line="264"/>
      </w:pPr>
      <w:r>
        <w:rPr>
          <w:rFonts w:ascii="Calibri" w:hAnsi="Calibri" w:eastAsia="Calibri"/>
          <w:b w:val="false"/>
          <w:bCs w:val="false"/>
          <w:i w:val="false"/>
          <w:iCs w:val="false"/>
          <w:sz w:val="20"/>
          <w:szCs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The plant is to be built at an operating metallurgical site in north-west Russia.</w:t>
      </w:r>
    </w:p>
    <w:p>
      <w:pPr>
        <w:spacing w:before="0" w:after="160" w:line="264"/>
      </w:pPr>
      <w:r>
        <w:rPr>
          <w:rFonts w:ascii="Calibri" w:hAnsi="Calibri" w:eastAsia="Calibri"/>
          <w:b w:val="false"/>
          <w:bCs w:val="false"/>
          <w:i w:val="false"/>
          <w:iCs w:val="false"/>
          <w:sz w:val="20"/>
          <w:szCs w:val="20"/>
        </w:rPr>
        <w:t xml:space="preserve">Summary of the item: Pb-Ca / Pb-Ag; 85 pieces per cell; annual replacement consumption 2,300 pieces. Technical requirements are given in Annex 1 to this request.</w:t>
      </w:r>
    </w:p>
    <w:p>
      <w:pPr>
        <w:spacing w:before="0" w:after="80" w:line="264"/>
      </w:pPr>
      <w:r>
        <w:rPr>
          <w:rFonts w:ascii="Calibri" w:hAnsi="Calibri" w:eastAsia="Calibri"/>
          <w:b w:val="false"/>
          <w:bCs w:val="false"/>
          <w:i w:val="false"/>
          <w:iCs w:val="false"/>
          <w:sz w:val="20"/>
          <w:szCs w:val="20"/>
        </w:rPr>
        <w:t xml:space="preserve">Please include in your quotation:</w:t>
      </w:r>
    </w:p>
    <w:p>
      <w:pPr>
        <w:pStyle w:val="ListParagraph"/>
        <w:numPr>
          <w:ilvl w:val="0"/>
          <w:numId w:val="2"/>
        </w:numPr>
        <w:spacing w:before="0" w:after="60" w:line="264"/>
        <w:ind w:left="640" w:hanging="360"/>
      </w:pPr>
      <w:r>
        <w:rPr>
          <w:rFonts w:ascii="Calibri" w:hAnsi="Calibri" w:eastAsia="Calibri"/>
          <w:b w:val="false"/>
          <w:bCs w:val="false"/>
          <w:i w:val="false"/>
          <w:iCs w:val="false"/>
          <w:sz w:val="20"/>
          <w:szCs w:val="20"/>
        </w:rPr>
        <w:t xml:space="preserve">budget price quoted separately on EXW (manufacturer’s works) and DDP terms for the project site in north-west Russia (Incoterms 2020), stating the currency and the validity period of the offer;</w:t>
      </w:r>
    </w:p>
    <w:p>
      <w:pPr>
        <w:pStyle w:val="ListParagraph"/>
        <w:numPr>
          <w:ilvl w:val="0"/>
          <w:numId w:val="2"/>
        </w:numPr>
        <w:spacing w:before="0" w:after="60" w:line="264"/>
        <w:ind w:left="640" w:hanging="360"/>
      </w:pPr>
      <w:r>
        <w:rPr>
          <w:rFonts w:ascii="Calibri" w:hAnsi="Calibri" w:eastAsia="Calibri"/>
          <w:b w:val="false"/>
          <w:bCs w:val="false"/>
          <w:i w:val="false"/>
          <w:iCs w:val="false"/>
          <w:sz w:val="20"/>
          <w:szCs w:val="20"/>
        </w:rPr>
        <w:t xml:space="preserve">manufacturing lead time and estimated delivery time (weeks from order / advance payment);</w:t>
      </w:r>
    </w:p>
    <w:p>
      <w:pPr>
        <w:pStyle w:val="ListParagraph"/>
        <w:numPr>
          <w:ilvl w:val="0"/>
          <w:numId w:val="2"/>
        </w:numPr>
        <w:spacing w:before="0" w:after="60" w:line="264"/>
        <w:ind w:left="640" w:hanging="360"/>
      </w:pPr>
      <w:r>
        <w:rPr>
          <w:rFonts w:ascii="Calibri" w:hAnsi="Calibri" w:eastAsia="Calibri"/>
          <w:b w:val="false"/>
          <w:bCs w:val="false"/>
          <w:i w:val="false"/>
          <w:iCs w:val="false"/>
          <w:sz w:val="20"/>
          <w:szCs w:val="20"/>
        </w:rPr>
        <w:t xml:space="preserve">weight and dimensional data: overall dimensions and weight of one unit of equipment and of the largest shipping blocks (for the logistics study);</w:t>
      </w:r>
    </w:p>
    <w:p>
      <w:pPr>
        <w:pStyle w:val="ListParagraph"/>
        <w:numPr>
          <w:ilvl w:val="0"/>
          <w:numId w:val="2"/>
        </w:numPr>
        <w:spacing w:before="0" w:after="60" w:line="264"/>
        <w:ind w:left="640" w:hanging="360"/>
      </w:pPr>
      <w:r>
        <w:rPr>
          <w:rFonts w:ascii="Calibri" w:hAnsi="Calibri" w:eastAsia="Calibri"/>
          <w:b w:val="false"/>
          <w:bCs w:val="false"/>
          <w:i w:val="false"/>
          <w:iCs w:val="false"/>
          <w:sz w:val="20"/>
          <w:szCs w:val="20"/>
        </w:rPr>
        <w:t xml:space="preserve">reference list of similar supplies: product, process duty and parameters, year of supply, country;</w:t>
      </w:r>
    </w:p>
    <w:p>
      <w:pPr>
        <w:pStyle w:val="ListParagraph"/>
        <w:numPr>
          <w:ilvl w:val="0"/>
          <w:numId w:val="2"/>
        </w:numPr>
        <w:spacing w:before="0" w:after="60" w:line="264"/>
        <w:ind w:left="640" w:hanging="360"/>
      </w:pPr>
      <w:r>
        <w:rPr>
          <w:rFonts w:ascii="Calibri" w:hAnsi="Calibri" w:eastAsia="Calibri"/>
          <w:b w:val="false"/>
          <w:bCs w:val="false"/>
          <w:i w:val="false"/>
          <w:iCs w:val="false"/>
          <w:sz w:val="20"/>
          <w:szCs w:val="20"/>
        </w:rPr>
        <w:t xml:space="preserve">materials of parts in contact with the process medium, and the scope of supply (instrumentation, spare parts, documentation);</w:t>
      </w:r>
    </w:p>
    <w:p>
      <w:pPr>
        <w:pStyle w:val="ListParagraph"/>
        <w:numPr>
          <w:ilvl w:val="0"/>
          <w:numId w:val="2"/>
        </w:numPr>
        <w:spacing w:before="0" w:after="60" w:line="264"/>
        <w:ind w:left="640" w:hanging="360"/>
      </w:pPr>
      <w:r>
        <w:rPr>
          <w:rFonts w:ascii="Calibri" w:hAnsi="Calibri" w:eastAsia="Calibri"/>
          <w:b w:val="false"/>
          <w:bCs w:val="false"/>
          <w:i w:val="false"/>
          <w:iCs w:val="false"/>
          <w:sz w:val="20"/>
          <w:szCs w:val="20"/>
        </w:rPr>
        <w:t xml:space="preserve">utility consumption and installation requirements (if available).</w:t>
      </w:r>
    </w:p>
    <w:p>
      <w:pPr>
        <w:spacing w:before="100" w:after="140" w:line="264"/>
      </w:pPr>
      <w:r>
        <w:rPr>
          <w:rFonts w:ascii="Calibri" w:hAnsi="Calibri" w:eastAsia="Calibri"/>
          <w:b w:val="false"/>
          <w:bCs w:val="false"/>
          <w:i w:val="false"/>
          <w:iCs w:val="false"/>
          <w:sz w:val="20"/>
          <w:szCs w:val="20"/>
        </w:rPr>
        <w:t xml:space="preserve">This is a budgetary enquiry at the Basic Engineering (FEED) stage: it does not constitute an offer and creates no obligations for either party; refined data sheets will be issued at the next project stage.</w:t>
      </w:r>
    </w:p>
    <w:p>
      <w:pPr>
        <w:spacing w:before="100" w:after="140" w:line="264"/>
      </w:pPr>
      <w:r>
        <w:rPr>
          <w:rFonts w:ascii="Calibri" w:hAnsi="Calibri" w:eastAsia="Calibri"/>
          <w:b w:val="false"/>
          <w:bCs w:val="false"/>
          <w:i w:val="false"/>
          <w:iCs w:val="false"/>
          <w:sz w:val="20"/>
          <w:szCs w:val="20"/>
        </w:rPr>
        <w:t xml:space="preserve">Reply deadline: we kindly ask you to submit your quotation within 3 (three) weeks from receipt of this request to stepan@kvantpro.com. Please confirm receipt of this request.</w:t>
      </w:r>
    </w:p>
    <w:p>
      <w:pPr>
        <w:spacing w:before="100" w:after="140" w:line="264"/>
      </w:pPr>
      <w:r>
        <w:rPr>
          <w:rFonts w:ascii="Calibri" w:hAnsi="Calibri" w:eastAsia="Calibri"/>
          <w:b w:val="false"/>
          <w:bCs w:val="false"/>
          <w:i w:val="false"/>
          <w:iCs w:val="false"/>
          <w:sz w:val="20"/>
          <w:szCs w:val="20"/>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pPr>
        <w:spacing w:before="100" w:after="140" w:line="264"/>
      </w:pPr>
      <w:r>
        <w:rPr>
          <w:rFonts w:ascii="Calibri" w:hAnsi="Calibri" w:eastAsia="Calibri"/>
          <w:b w:val="false"/>
          <w:bCs w:val="false"/>
          <w:i w:val="false"/>
          <w:iCs w:val="false"/>
          <w:sz w:val="20"/>
          <w:szCs w:val="20"/>
        </w:rPr>
        <w:t xml:space="preserve">Contact person: Stepan Kharkov, KVANT LLC, stepan@kvantpro.com.</w:t>
      </w:r>
    </w:p>
    <w:p>
      <w:pPr>
        <w:spacing w:before="100" w:after="140" w:line="264"/>
      </w:pPr>
      <w:r>
        <w:rPr>
          <w:rFonts w:ascii="Calibri" w:hAnsi="Calibri" w:eastAsia="Calibri"/>
          <w:b w:val="false"/>
          <w:bCs w:val="false"/>
          <w:i w:val="false"/>
          <w:iCs w:val="false"/>
          <w:sz w:val="20"/>
          <w:szCs w:val="20"/>
        </w:rPr>
        <w:t xml:space="preserve">Annex 1: Technical requirements for the item of this request.</w:t>
      </w:r>
    </w:p>
    <w:p>
      <w:pPr>
        <w:keepNext/>
        <w:pBdr>
          <w:bottom w:val="single" w:color="BFBFBF" w:sz="6" w:space="4"/>
        </w:pBdr>
        <w:spacing w:before="300" w:after="140" w:line="276"/>
      </w:pPr>
      <w:r>
        <w:rPr>
          <w:rFonts w:ascii="Calibri" w:hAnsi="Calibri" w:eastAsia="Calibri"/>
          <w:b/>
          <w:bCs/>
          <w:i w:val="false"/>
          <w:iCs w:val="false"/>
          <w:sz w:val="24"/>
          <w:szCs w:val="24"/>
        </w:rPr>
        <w:t xml:space="preserve">Annex 1. Technical requirements</w:t>
      </w:r>
    </w:p>
    <w:p>
      <w:pPr>
        <w:spacing w:before="0" w:after="160" w:line="264"/>
      </w:pPr>
      <w:r>
        <w:rPr>
          <w:rFonts w:ascii="Calibri" w:hAnsi="Calibri" w:eastAsia="Calibri"/>
          <w:b w:val="false"/>
          <w:bCs w:val="false"/>
          <w:i w:val="false"/>
          <w:iCs w:val="false"/>
          <w:color w:val="595959"/>
          <w:sz w:val="18"/>
          <w:szCs w:val="18"/>
        </w:rPr>
        <w:t xml:space="preserve">To RFQ No. OVE75-RFQ-14 · Values follow the Customer’s input data and technical assignment; Basic Engineering (FEED) stage, subject to refinement at the next stage.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338"/>
      </w:tblGrid>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RFQ item</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Lead-alloy anodes, approx. 15,300 off</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Summary</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Pb-Ca / Pb-Ag; 85 pieces per cell; annual replacement consumption 2,300 pieces</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Specific requirements</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Alloy composition, service life, guaranteed corrosion rate and lead sludge generation</w:t>
            </w:r>
          </w:p>
        </w:tc>
      </w:tr>
    </w:tbl>
    <w:p>
      <w:pPr>
        <w:spacing w:before="0" w:after="200" w:line="264"/>
      </w:pPr>
      <w:r>
        <w:rPr>
          <w:rFonts w:ascii="Calibri" w:hAnsi="Calibri" w:eastAsia="Calibri"/>
          <w:b w:val="false"/>
          <w:bCs w:val="false"/>
          <w:i w:val="false"/>
          <w:iCs w:val="false"/>
          <w:sz w:val="20"/>
          <w:szCs w:val="20"/>
        </w:rPr>
        <w:t xml:space="preserve"/>
      </w:r>
    </w:p>
    <w:p>
      <w:pPr>
        <w:spacing w:before="0" w:after="120" w:line="264"/>
      </w:pPr>
      <w:r>
        <w:rPr>
          <w:rFonts w:ascii="Calibri" w:hAnsi="Calibri" w:eastAsia="Calibri"/>
          <w:b/>
          <w:bCs/>
          <w:i w:val="false"/>
          <w:iCs w:val="false"/>
          <w:sz w:val="20"/>
          <w:szCs w:val="20"/>
        </w:rPr>
        <w:t xml:space="preserve">Equipment covered by this request:</w:t>
      </w:r>
    </w:p>
    <w:p>
      <w:pPr>
        <w:pStyle w:val="ListParagraph"/>
        <w:keepNext/>
        <w:numPr>
          <w:ilvl w:val="0"/>
          <w:numId w:val="3"/>
        </w:numPr>
        <w:spacing w:before="160" w:after="100"/>
        <w:ind w:left="640" w:hanging="360"/>
      </w:pPr>
      <w:r>
        <w:rPr>
          <w:rFonts w:ascii="Calibri" w:hAnsi="Calibri" w:eastAsia="Calibri"/>
          <w:b/>
          <w:bCs/>
          <w:i w:val="false"/>
          <w:iCs w:val="false"/>
          <w:sz w:val="20"/>
          <w:szCs w:val="20"/>
        </w:rPr>
        <w:t xml:space="preserve">Lead-alloy anodes</w:t>
      </w:r>
      <w:r>
        <w:rPr>
          <w:rFonts w:ascii="Calibri" w:hAnsi="Calibri" w:eastAsia="Calibri"/>
          <w:b w:val="false"/>
          <w:bCs w:val="false"/>
          <w:i w:val="false"/>
          <w:iCs w:val="false"/>
          <w:color w:val="595959"/>
          <w:sz w:val="20"/>
          <w:szCs w:val="20"/>
        </w:rPr>
        <w:t xml:space="preserve">   —   Electrowinning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338"/>
      </w:tblGrid>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Type / model</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Pb-Ca / Pb-Ag alloys</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Duty</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Anodes of the electrowinning cells</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Key parameters</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85 anodes per cell; consumption 2,300 pcs/year (0.033 pcs per tonne of Cu)</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Quantity</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180 × 85 = 15,300 pcs, initial charge (calculated)</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Materials</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Lead alloy</w:t>
            </w:r>
          </w:p>
        </w:tc>
      </w:tr>
    </w:tbl>
    <w:p>
      <w:pPr>
        <w:spacing w:before="0" w:after="120" w:line="264"/>
      </w:pPr>
      <w:r>
        <w:rPr>
          <w:rFonts w:ascii="Calibri" w:hAnsi="Calibri" w:eastAsia="Calibri"/>
          <w:b w:val="false"/>
          <w:bCs w:val="false"/>
          <w:i w:val="false"/>
          <w:iCs w:val="false"/>
          <w:sz w:val="20"/>
          <w:szCs w:val="20"/>
        </w:rPr>
        <w:t xml:space="preserve"/>
      </w:r>
    </w:p>
    <w:p>
      <w:pPr>
        <w:spacing w:before="160" w:after="0" w:line="264"/>
      </w:pPr>
      <w:r>
        <w:rPr>
          <w:rFonts w:ascii="Calibri" w:hAnsi="Calibri" w:eastAsia="Calibri"/>
          <w:b w:val="false"/>
          <w:bCs w:val="false"/>
          <w:i w:val="false"/>
          <w:iCs w:val="false"/>
          <w:sz w:val="20"/>
          <w:szCs w:val="20"/>
        </w:rPr>
        <w:t xml:space="preserve">The quotation must confirm: process medium, temperature, pressure, materials of wetted parts, capacity, dimensions and weight, power consumption, manufacturing lead time, delivery terms.</w:t>
      </w:r>
    </w:p>
    <w:p>
      <w:r>
        <w:br w:type="page"/>
      </w:r>
    </w:p>
    <w:p>
      <w:pPr>
        <w:pBdr>
          <w:bottom w:val="single" w:color="BFBFBF" w:sz="6" w:space="4"/>
        </w:pBdr>
        <w:spacing w:before="0" w:after="200"/>
      </w:pPr>
      <w:r>
        <w:rPr>
          <w:rFonts w:ascii="Noto Sans CJK SC" w:hAnsi="Noto Sans CJK SC" w:eastAsia="Noto Sans CJK SC"/>
          <w:b/>
          <w:bCs/>
          <w:i w:val="false"/>
          <w:iCs w:val="false"/>
          <w:color w:val="595959"/>
          <w:sz w:val="18"/>
          <w:szCs w:val="18"/>
        </w:rPr>
        <w:t xml:space="preserve">Part 2 — 中文</w:t>
      </w:r>
    </w:p>
    <w:p>
      <w:pPr>
        <w:spacing w:before="0" w:after="200" w:line="276"/>
        <w:jc w:val="left"/>
      </w:pPr>
      <w:r>
        <w:rPr>
          <w:rFonts w:ascii="Noto Sans CJK SC" w:hAnsi="Noto Sans CJK SC" w:eastAsia="Noto Sans CJK SC"/>
          <w:b/>
          <w:bCs/>
          <w:i w:val="false"/>
          <w:iCs w:val="false"/>
          <w:sz w:val="28"/>
          <w:szCs w:val="28"/>
        </w:rPr>
        <w:t xml:space="preserve">预算性技术商务报价请求书 编号 OVE75-RFQ-14</w:t>
      </w:r>
    </w:p>
    <w:p>
      <w:pPr>
        <w:spacing w:before="0" w:after="200" w:line="264"/>
      </w:pPr>
      <w:r>
        <w:rPr>
          <w:rFonts w:ascii="Noto Sans CJK SC" w:hAnsi="Noto Sans CJK SC" w:eastAsia="Noto Sans CJK SC"/>
          <w:b/>
          <w:bCs/>
          <w:i w:val="false"/>
          <w:iCs w:val="false"/>
          <w:sz w:val="20"/>
          <w:szCs w:val="20"/>
        </w:rPr>
        <w:t xml:space="preserve">询价标的：</w:t>
      </w:r>
      <w:r>
        <w:rPr>
          <w:rFonts w:ascii="Noto Sans CJK SC" w:hAnsi="Noto Sans CJK SC" w:eastAsia="Noto Sans CJK SC"/>
          <w:b w:val="false"/>
          <w:bCs w:val="false"/>
          <w:i w:val="false"/>
          <w:iCs w:val="false"/>
          <w:sz w:val="20"/>
          <w:szCs w:val="20"/>
        </w:rPr>
        <w:t xml:space="preserve">铅合金阳极，约 15,300 片。</w:t>
      </w:r>
    </w:p>
    <w:p>
      <w:pPr>
        <w:spacing w:before="0" w:after="160" w:line="264"/>
      </w:pPr>
      <w:r>
        <w:rPr>
          <w:rFonts w:ascii="Noto Sans CJK SC" w:hAnsi="Noto Sans CJK SC" w:eastAsia="Noto Sans CJK SC"/>
          <w:b w:val="false"/>
          <w:bCs w:val="false"/>
          <w:i w:val="false"/>
          <w:iCs w:val="false"/>
          <w:sz w:val="20"/>
          <w:szCs w:val="20"/>
        </w:rPr>
        <w:t xml:space="preserve">KVANT LLC（俄罗斯联邦）在年产 75,000 吨阴极铜的铜冶炼厂——即“焙烧—浸出—电积”联合装置——建设项目的基础工程（FEED）阶段，谨请贵方就上述标的提交预算性技术商务报价（预算报价）。该厂拟建于俄罗斯西北部一处在役冶金厂区。</w:t>
      </w:r>
    </w:p>
    <w:p>
      <w:pPr>
        <w:spacing w:before="0" w:after="160" w:line="264"/>
      </w:pPr>
      <w:r>
        <w:rPr>
          <w:rFonts w:ascii="Noto Sans CJK SC" w:hAnsi="Noto Sans CJK SC" w:eastAsia="Noto Sans CJK SC"/>
          <w:b w:val="false"/>
          <w:bCs w:val="false"/>
          <w:i w:val="false"/>
          <w:iCs w:val="false"/>
          <w:sz w:val="20"/>
          <w:szCs w:val="20"/>
        </w:rPr>
        <w:t xml:space="preserve">标的简要说明：Pb-Ca / Pb-Ag；每槽 85 片；年更换消耗量 2,300 片。 技术要求见本请求书附件 1。</w:t>
      </w:r>
    </w:p>
    <w:p>
      <w:pPr>
        <w:spacing w:before="0" w:after="80" w:line="264"/>
      </w:pPr>
      <w:r>
        <w:rPr>
          <w:rFonts w:ascii="Noto Sans CJK SC" w:hAnsi="Noto Sans CJK SC" w:eastAsia="Noto Sans CJK SC"/>
          <w:b w:val="false"/>
          <w:bCs w:val="false"/>
          <w:i w:val="false"/>
          <w:iCs w:val="false"/>
          <w:sz w:val="20"/>
          <w:szCs w:val="20"/>
        </w:rPr>
        <w:t xml:space="preserve">请在报价中包含以下内容：</w:t>
      </w:r>
    </w:p>
    <w:p>
      <w:pPr>
        <w:pStyle w:val="ListParagraph"/>
        <w:numPr>
          <w:ilvl w:val="0"/>
          <w:numId w:val="4"/>
        </w:numPr>
        <w:spacing w:before="0" w:after="60" w:line="264"/>
        <w:ind w:left="640" w:hanging="360"/>
      </w:pPr>
      <w:r>
        <w:rPr>
          <w:rFonts w:ascii="Noto Sans CJK SC" w:hAnsi="Noto Sans CJK SC" w:eastAsia="Noto Sans CJK SC"/>
          <w:b w:val="false"/>
          <w:bCs w:val="false"/>
          <w:i w:val="false"/>
          <w:iCs w:val="false"/>
          <w:sz w:val="20"/>
          <w:szCs w:val="20"/>
        </w:rPr>
        <w:t xml:space="preserve">预算价格——分别按 EXW（制造厂仓库）和 DDP 俄罗斯西北部项目现场交货条件分别报价（Incoterms 2020），并注明币种和报价有效期；</w:t>
      </w:r>
    </w:p>
    <w:p>
      <w:pPr>
        <w:pStyle w:val="ListParagraph"/>
        <w:numPr>
          <w:ilvl w:val="0"/>
          <w:numId w:val="4"/>
        </w:numPr>
        <w:spacing w:before="0" w:after="60" w:line="264"/>
        <w:ind w:left="640" w:hanging="360"/>
      </w:pPr>
      <w:r>
        <w:rPr>
          <w:rFonts w:ascii="Noto Sans CJK SC" w:hAnsi="Noto Sans CJK SC" w:eastAsia="Noto Sans CJK SC"/>
          <w:b w:val="false"/>
          <w:bCs w:val="false"/>
          <w:i w:val="false"/>
          <w:iCs w:val="false"/>
          <w:sz w:val="20"/>
          <w:szCs w:val="20"/>
        </w:rPr>
        <w:t xml:space="preserve">制造周期和预计交货期（自订单／预付款之日起的周数）；</w:t>
      </w:r>
    </w:p>
    <w:p>
      <w:pPr>
        <w:pStyle w:val="ListParagraph"/>
        <w:numPr>
          <w:ilvl w:val="0"/>
          <w:numId w:val="4"/>
        </w:numPr>
        <w:spacing w:before="0" w:after="60" w:line="264"/>
        <w:ind w:left="640" w:hanging="360"/>
      </w:pPr>
      <w:r>
        <w:rPr>
          <w:rFonts w:ascii="Noto Sans CJK SC" w:hAnsi="Noto Sans CJK SC" w:eastAsia="Noto Sans CJK SC"/>
          <w:b w:val="false"/>
          <w:bCs w:val="false"/>
          <w:i w:val="false"/>
          <w:iCs w:val="false"/>
          <w:sz w:val="20"/>
          <w:szCs w:val="20"/>
        </w:rPr>
        <w:t xml:space="preserve">重量及外形数据：单台设备和最大运输分块的外形尺寸与重量（用于物流方案研究）；</w:t>
      </w:r>
    </w:p>
    <w:p>
      <w:pPr>
        <w:pStyle w:val="ListParagraph"/>
        <w:numPr>
          <w:ilvl w:val="0"/>
          <w:numId w:val="4"/>
        </w:numPr>
        <w:spacing w:before="0" w:after="60" w:line="264"/>
        <w:ind w:left="640" w:hanging="360"/>
      </w:pPr>
      <w:r>
        <w:rPr>
          <w:rFonts w:ascii="Noto Sans CJK SC" w:hAnsi="Noto Sans CJK SC" w:eastAsia="Noto Sans CJK SC"/>
          <w:b w:val="false"/>
          <w:bCs w:val="false"/>
          <w:i w:val="false"/>
          <w:iCs w:val="false"/>
          <w:sz w:val="20"/>
          <w:szCs w:val="20"/>
        </w:rPr>
        <w:t xml:space="preserve">类似供货业绩清单：产品、工艺工况及参数、供货年份、国家；</w:t>
      </w:r>
    </w:p>
    <w:p>
      <w:pPr>
        <w:pStyle w:val="ListParagraph"/>
        <w:numPr>
          <w:ilvl w:val="0"/>
          <w:numId w:val="4"/>
        </w:numPr>
        <w:spacing w:before="0" w:after="60" w:line="264"/>
        <w:ind w:left="640" w:hanging="360"/>
      </w:pPr>
      <w:r>
        <w:rPr>
          <w:rFonts w:ascii="Noto Sans CJK SC" w:hAnsi="Noto Sans CJK SC" w:eastAsia="Noto Sans CJK SC"/>
          <w:b w:val="false"/>
          <w:bCs w:val="false"/>
          <w:i w:val="false"/>
          <w:iCs w:val="false"/>
          <w:sz w:val="20"/>
          <w:szCs w:val="20"/>
        </w:rPr>
        <w:t xml:space="preserve">与工艺介质接触部件的材质，以及供货范围（仪表、备件、文件资料）；</w:t>
      </w:r>
    </w:p>
    <w:p>
      <w:pPr>
        <w:pStyle w:val="ListParagraph"/>
        <w:numPr>
          <w:ilvl w:val="0"/>
          <w:numId w:val="4"/>
        </w:numPr>
        <w:spacing w:before="0" w:after="60" w:line="264"/>
        <w:ind w:left="640" w:hanging="360"/>
      </w:pPr>
      <w:r>
        <w:rPr>
          <w:rFonts w:ascii="Noto Sans CJK SC" w:hAnsi="Noto Sans CJK SC" w:eastAsia="Noto Sans CJK SC"/>
          <w:b w:val="false"/>
          <w:bCs w:val="false"/>
          <w:i w:val="false"/>
          <w:iCs w:val="false"/>
          <w:sz w:val="20"/>
          <w:szCs w:val="20"/>
        </w:rPr>
        <w:t xml:space="preserve">能源介质消耗量和安装要求（如有相关数据）。</w:t>
      </w:r>
    </w:p>
    <w:p>
      <w:pPr>
        <w:spacing w:before="100" w:after="140" w:line="264"/>
      </w:pPr>
      <w:r>
        <w:rPr>
          <w:rFonts w:ascii="Noto Sans CJK SC" w:hAnsi="Noto Sans CJK SC" w:eastAsia="Noto Sans CJK SC"/>
          <w:b w:val="false"/>
          <w:bCs w:val="false"/>
          <w:i w:val="false"/>
          <w:iCs w:val="false"/>
          <w:sz w:val="20"/>
          <w:szCs w:val="20"/>
        </w:rPr>
        <w:t xml:space="preserve">本询价属基础工程（FEED）阶段的预算性询价：不构成要约，对双方不产生任何义务；细化的技术数据表将在项目下一阶段发出。</w:t>
      </w:r>
    </w:p>
    <w:p>
      <w:pPr>
        <w:spacing w:before="100" w:after="140" w:line="264"/>
      </w:pPr>
      <w:r>
        <w:rPr>
          <w:rFonts w:ascii="Noto Sans CJK SC" w:hAnsi="Noto Sans CJK SC" w:eastAsia="Noto Sans CJK SC"/>
          <w:b w:val="false"/>
          <w:bCs w:val="false"/>
          <w:i w:val="false"/>
          <w:iCs w:val="false"/>
          <w:sz w:val="20"/>
          <w:szCs w:val="20"/>
        </w:rPr>
        <w:t xml:space="preserve">回复期限：请自收到本请求书之日起 3（三）周内将报价发送至 stepan@kvantpro.com。请确认收到本请求书。</w:t>
      </w:r>
    </w:p>
    <w:p>
      <w:pPr>
        <w:spacing w:before="100" w:after="140" w:line="264"/>
      </w:pPr>
      <w:r>
        <w:rPr>
          <w:rFonts w:ascii="Noto Sans CJK SC" w:hAnsi="Noto Sans CJK SC" w:eastAsia="Noto Sans CJK SC"/>
          <w:b w:val="false"/>
          <w:bCs w:val="false"/>
          <w:i w:val="false"/>
          <w:iCs w:val="false"/>
          <w:sz w:val="20"/>
          <w:szCs w:val="20"/>
        </w:rPr>
        <w:t xml:space="preserve">保密。本请求书及所附技术资料仅供编制报价之用，属保密信息，未经 KVANT LLC 事先书面同意，不得向第三方披露、复制或公开发表。提交报价不对双方产生法律义务。</w:t>
      </w:r>
    </w:p>
    <w:p>
      <w:pPr>
        <w:spacing w:before="100" w:after="140" w:line="264"/>
      </w:pPr>
      <w:r>
        <w:rPr>
          <w:rFonts w:ascii="Noto Sans CJK SC" w:hAnsi="Noto Sans CJK SC" w:eastAsia="Noto Sans CJK SC"/>
          <w:b w:val="false"/>
          <w:bCs w:val="false"/>
          <w:i w:val="false"/>
          <w:iCs w:val="false"/>
          <w:sz w:val="20"/>
          <w:szCs w:val="20"/>
        </w:rPr>
        <w:t xml:space="preserve">联系人：Stepan Kharkov, KVANT LLC, stepan@kvantpro.com。</w:t>
      </w:r>
    </w:p>
    <w:p>
      <w:pPr>
        <w:spacing w:before="100" w:after="140" w:line="264"/>
      </w:pPr>
      <w:r>
        <w:rPr>
          <w:rFonts w:ascii="Noto Sans CJK SC" w:hAnsi="Noto Sans CJK SC" w:eastAsia="Noto Sans CJK SC"/>
          <w:b w:val="false"/>
          <w:bCs w:val="false"/>
          <w:i w:val="false"/>
          <w:iCs w:val="false"/>
          <w:sz w:val="20"/>
          <w:szCs w:val="20"/>
        </w:rPr>
        <w:t xml:space="preserve">附件 1：本询价标的的技术要求。</w:t>
      </w:r>
    </w:p>
    <w:p>
      <w:pPr>
        <w:keepNext/>
        <w:pBdr>
          <w:bottom w:val="single" w:color="BFBFBF" w:sz="6" w:space="4"/>
        </w:pBdr>
        <w:spacing w:before="300" w:after="140" w:line="276"/>
      </w:pPr>
      <w:r>
        <w:rPr>
          <w:rFonts w:ascii="Noto Sans CJK SC" w:hAnsi="Noto Sans CJK SC" w:eastAsia="Noto Sans CJK SC"/>
          <w:b/>
          <w:bCs/>
          <w:i w:val="false"/>
          <w:iCs w:val="false"/>
          <w:sz w:val="24"/>
          <w:szCs w:val="24"/>
        </w:rPr>
        <w:t xml:space="preserve">附件 1. 技术要求</w:t>
      </w:r>
    </w:p>
    <w:p>
      <w:pPr>
        <w:spacing w:before="0" w:after="160" w:line="264"/>
      </w:pPr>
      <w:r>
        <w:rPr>
          <w:rFonts w:ascii="Noto Sans CJK SC" w:hAnsi="Noto Sans CJK SC" w:eastAsia="Noto Sans CJK SC"/>
          <w:b w:val="false"/>
          <w:bCs w:val="false"/>
          <w:i w:val="false"/>
          <w:iCs w:val="false"/>
          <w:color w:val="595959"/>
          <w:sz w:val="18"/>
          <w:szCs w:val="18"/>
        </w:rPr>
        <w:t xml:space="preserve">针对询价编号 OVE75-RFQ-14 · 参数依据业主提供的原始数据和技术任务书；基础工程（FEED）阶段，下一阶段可能进一步细化。</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338"/>
      </w:tblGrid>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询价标的</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铅合金阳极，约 15,300 片</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简要说明</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Pb-Ca / Pb-Ag；每槽 85 片；年更换消耗量 2,300 片</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特殊要求</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合金成分、使用寿命、腐蚀速率及铅泥生成量的保证值</w:t>
            </w:r>
          </w:p>
        </w:tc>
      </w:tr>
    </w:tbl>
    <w:p>
      <w:pPr>
        <w:spacing w:before="0" w:after="200" w:line="264"/>
      </w:pPr>
      <w:r>
        <w:rPr>
          <w:rFonts w:ascii="Calibri" w:hAnsi="Calibri" w:eastAsia="Calibri"/>
          <w:b w:val="false"/>
          <w:bCs w:val="false"/>
          <w:i w:val="false"/>
          <w:iCs w:val="false"/>
          <w:sz w:val="20"/>
          <w:szCs w:val="20"/>
        </w:rPr>
        <w:t xml:space="preserve"/>
      </w:r>
    </w:p>
    <w:p>
      <w:pPr>
        <w:spacing w:before="0" w:after="120" w:line="264"/>
      </w:pPr>
      <w:r>
        <w:rPr>
          <w:rFonts w:ascii="Noto Sans CJK SC" w:hAnsi="Noto Sans CJK SC" w:eastAsia="Noto Sans CJK SC"/>
          <w:b/>
          <w:bCs/>
          <w:i w:val="false"/>
          <w:iCs w:val="false"/>
          <w:sz w:val="20"/>
          <w:szCs w:val="20"/>
        </w:rPr>
        <w:t xml:space="preserve">本询价涵盖的设备：</w:t>
      </w:r>
    </w:p>
    <w:p>
      <w:pPr>
        <w:pStyle w:val="ListParagraph"/>
        <w:keepNext/>
        <w:numPr>
          <w:ilvl w:val="0"/>
          <w:numId w:val="5"/>
        </w:numPr>
        <w:spacing w:before="160" w:after="100"/>
        <w:ind w:left="640" w:hanging="360"/>
      </w:pPr>
      <w:r>
        <w:rPr>
          <w:rFonts w:ascii="Noto Sans CJK SC" w:hAnsi="Noto Sans CJK SC" w:eastAsia="Noto Sans CJK SC"/>
          <w:b/>
          <w:bCs/>
          <w:i w:val="false"/>
          <w:iCs w:val="false"/>
          <w:sz w:val="20"/>
          <w:szCs w:val="20"/>
        </w:rPr>
        <w:t xml:space="preserve">铅合金阳极</w:t>
      </w:r>
      <w:r>
        <w:rPr>
          <w:rFonts w:ascii="Noto Sans CJK SC" w:hAnsi="Noto Sans CJK SC" w:eastAsia="Noto Sans CJK SC"/>
          <w:b w:val="false"/>
          <w:bCs w:val="false"/>
          <w:i w:val="false"/>
          <w:iCs w:val="false"/>
          <w:color w:val="595959"/>
          <w:sz w:val="20"/>
          <w:szCs w:val="20"/>
        </w:rPr>
        <w:t xml:space="preserve">   —   电积</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338"/>
      </w:tblGrid>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型号／材质</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Pb-Ca / Pb-Ag 合金</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用途</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电积槽阳极</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主要参数</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每槽 85 片阳极；消耗量 2,300 片/年（每吨铜 0.033 片）</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数量</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180 × 85 = 15,300 片，初次装槽量（计算值）</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材质</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铅合金</w:t>
            </w:r>
          </w:p>
        </w:tc>
      </w:tr>
    </w:tbl>
    <w:p>
      <w:pPr>
        <w:spacing w:before="0" w:after="120" w:line="264"/>
      </w:pPr>
      <w:r>
        <w:rPr>
          <w:rFonts w:ascii="Calibri" w:hAnsi="Calibri" w:eastAsia="Calibri"/>
          <w:b w:val="false"/>
          <w:bCs w:val="false"/>
          <w:i w:val="false"/>
          <w:iCs w:val="false"/>
          <w:sz w:val="20"/>
          <w:szCs w:val="20"/>
        </w:rPr>
        <w:t xml:space="preserve"/>
      </w:r>
    </w:p>
    <w:p>
      <w:pPr>
        <w:spacing w:before="160" w:after="0" w:line="264"/>
      </w:pPr>
      <w:r>
        <w:rPr>
          <w:rFonts w:ascii="Noto Sans CJK SC" w:hAnsi="Noto Sans CJK SC" w:eastAsia="Noto Sans CJK SC"/>
          <w:b w:val="false"/>
          <w:bCs w:val="false"/>
          <w:i w:val="false"/>
          <w:iCs w:val="false"/>
          <w:sz w:val="20"/>
          <w:szCs w:val="20"/>
        </w:rPr>
        <w:t xml:space="preserve">报价中必须予以确认的内容：工艺介质、温度、压力、接触部件材质、生产能力、外形尺寸和重量、耗电量、制造周期、交货条件。</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40" w:hanging="360"/>
      </w:pPr>
    </w:lvl>
  </w:abstractNum>
  <w:abstractNum w:abstractNumId="3" w15:restartNumberingAfterBreak="0">
    <w:multiLevelType w:val="hybridMultilevel"/>
    <w:lvl w:ilvl="0" w15:tentative="1">
      <w:start w:val="1"/>
      <w:numFmt w:val="decimal"/>
      <w:lvlText w:val="%1."/>
      <w:lvlJc w:val="start"/>
      <w:pPr>
        <w:ind w:left="6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OVE-75 RFQ — Lead-alloy anodes</dc:title>
  <dc:subject>Request for budgetary technical and commercial proposal OVE75-RFQ-14</dc:subject>
  <dc:creator>KVANT LLC</dc:creator>
  <cp:keywords>RFQ, budgetary quotation, copper, Lead-alloy anodes</cp:keywords>
  <dc:description>Bilingual (English / Chinese) request for a budgetary technical and commercial proposal, OVE75-RFQ-14.</dc:description>
  <cp:lastModifiedBy>KVANT LLC</cp:lastModifiedBy>
  <cp:revision>1</cp:revision>
  <dcterms:created xsi:type="dcterms:W3CDTF">2026-09-01T12:11:42.579Z</dcterms:created>
  <dcterms:modified xsi:type="dcterms:W3CDTF">2026-09-01T12:11:42.579Z</dcterms:modified>
</cp:coreProperties>
</file>

<file path=docProps/custom.xml><?xml version="1.0" encoding="utf-8"?>
<Properties xmlns="http://schemas.openxmlformats.org/officeDocument/2006/custom-properties" xmlns:vt="http://schemas.openxmlformats.org/officeDocument/2006/docPropsVTypes"/>
</file>