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FBFBF" w:sz="6" w:space="4"/>
        </w:pBdr>
        <w:spacing w:before="0" w:after="200"/>
      </w:pPr>
      <w:r>
        <w:rPr>
          <w:rFonts w:ascii="Calibri" w:hAnsi="Calibri" w:eastAsia="Calibri"/>
          <w:b/>
          <w:bCs/>
          <w:i w:val="false"/>
          <w:iCs w:val="false"/>
          <w:color w:val="595959"/>
          <w:sz w:val="18"/>
          <w:szCs w:val="18"/>
        </w:rPr>
        <w:t xml:space="preserve">Part 1 — English</w:t>
      </w:r>
    </w:p>
    <w:p>
      <w:pPr>
        <w:spacing w:before="0" w:after="200" w:line="276"/>
        <w:jc w:val="left"/>
      </w:pPr>
      <w:r>
        <w:rPr>
          <w:rFonts w:ascii="Calibri" w:hAnsi="Calibri" w:eastAsia="Calibri"/>
          <w:b/>
          <w:bCs/>
          <w:i w:val="false"/>
          <w:iCs w:val="false"/>
          <w:sz w:val="28"/>
          <w:szCs w:val="28"/>
        </w:rPr>
        <w:t xml:space="preserve">Request for Budgetary Technical and Commercial Proposal No. OVE75-RFQ-21</w:t>
      </w:r>
    </w:p>
    <w:p>
      <w:pPr>
        <w:spacing w:before="0" w:after="200" w:line="264"/>
      </w:pPr>
      <w:r>
        <w:rPr>
          <w:rFonts w:ascii="Calibri" w:hAnsi="Calibri" w:eastAsia="Calibri"/>
          <w:b/>
          <w:bCs/>
          <w:i w:val="false"/>
          <w:iCs w:val="false"/>
          <w:sz w:val="20"/>
          <w:szCs w:val="20"/>
        </w:rPr>
        <w:t xml:space="preserve">Subject: </w:t>
      </w:r>
      <w:r>
        <w:rPr>
          <w:rFonts w:ascii="Calibri" w:hAnsi="Calibri" w:eastAsia="Calibri"/>
          <w:b w:val="false"/>
          <w:bCs w:val="false"/>
          <w:i w:val="false"/>
          <w:iCs w:val="false"/>
          <w:sz w:val="20"/>
          <w:szCs w:val="20"/>
        </w:rPr>
        <w:t xml:space="preserve">Weighing equipment for commercial metering.</w:t>
      </w:r>
    </w:p>
    <w:p>
      <w:pPr>
        <w:spacing w:before="0" w:after="160" w:line="264"/>
      </w:pPr>
      <w:r>
        <w:rPr>
          <w:rFonts w:ascii="Calibri" w:hAnsi="Calibri" w:eastAsia="Calibri"/>
          <w:b w:val="false"/>
          <w:bCs w:val="false"/>
          <w:i w:val="false"/>
          <w:iCs w:val="false"/>
          <w:sz w:val="20"/>
          <w:szCs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The plant is to be built at an operating metallurgical site in north-west Russia.</w:t>
      </w:r>
    </w:p>
    <w:p>
      <w:pPr>
        <w:spacing w:before="0" w:after="160" w:line="264"/>
      </w:pPr>
      <w:r>
        <w:rPr>
          <w:rFonts w:ascii="Calibri" w:hAnsi="Calibri" w:eastAsia="Calibri"/>
          <w:b w:val="false"/>
          <w:bCs w:val="false"/>
          <w:i w:val="false"/>
          <w:iCs w:val="false"/>
          <w:sz w:val="20"/>
          <w:szCs w:val="20"/>
        </w:rPr>
        <w:t xml:space="preserve">Summary of the item: Accuracy class “high”; open software components for automatic data transfer; set of calibration weights and a 2-year spare parts kit. Technical requirements are given in Annex 1 to this request.</w:t>
      </w:r>
    </w:p>
    <w:p>
      <w:pPr>
        <w:spacing w:before="0" w:after="80" w:line="264"/>
      </w:pPr>
      <w:r>
        <w:rPr>
          <w:rFonts w:ascii="Calibri" w:hAnsi="Calibri" w:eastAsia="Calibri"/>
          <w:b w:val="false"/>
          <w:bCs w:val="false"/>
          <w:i w:val="false"/>
          <w:iCs w:val="false"/>
          <w:sz w:val="20"/>
          <w:szCs w:val="20"/>
        </w:rPr>
        <w:t xml:space="preserve">Please include in your quotation: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budget price quoted separately on EXW (manufacturer’s works) and DDP terms for the project site in north-west Russia (Incoterms 2020), stating the currency and the validity period of the offer;</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manufacturing lead time and estimated delivery time (weeks from order / advance payment);</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weight and dimensional data: overall dimensions and weight of one unit of equipment and of the largest shipping blocks (for the logistics study);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reference list of similar supplies: product, process duty and parameters, year of supply, country;</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materials of parts in contact with the process medium, and the scope of supply (instrumentation, spare parts, documentation);</w:t>
      </w:r>
    </w:p>
    <w:p>
      <w:pPr>
        <w:pStyle w:val="ListParagraph"/>
        <w:numPr>
          <w:ilvl w:val="0"/>
          <w:numId w:val="2"/>
        </w:numPr>
        <w:spacing w:before="0" w:after="60" w:line="264"/>
        <w:ind w:left="640" w:hanging="360"/>
      </w:pPr>
      <w:r>
        <w:rPr>
          <w:rFonts w:ascii="Calibri" w:hAnsi="Calibri" w:eastAsia="Calibri"/>
          <w:b w:val="false"/>
          <w:bCs w:val="false"/>
          <w:i w:val="false"/>
          <w:iCs w:val="false"/>
          <w:sz w:val="20"/>
          <w:szCs w:val="20"/>
        </w:rPr>
        <w:t xml:space="preserve">utility consumption and installation requirements (if available).</w:t>
      </w:r>
    </w:p>
    <w:p>
      <w:pPr>
        <w:spacing w:before="100" w:after="140" w:line="264"/>
      </w:pPr>
      <w:r>
        <w:rPr>
          <w:rFonts w:ascii="Calibri" w:hAnsi="Calibri" w:eastAsia="Calibri"/>
          <w:b w:val="false"/>
          <w:bCs w:val="false"/>
          <w:i w:val="false"/>
          <w:iCs w:val="false"/>
          <w:sz w:val="20"/>
          <w:szCs w:val="20"/>
        </w:rPr>
        <w:t xml:space="preserve">This is a budgetary enquiry at the Basic Engineering (FEED) stage: it does not constitute an offer and creates no obligations for either party; refined data sheets will be issued at the next project stage.</w:t>
      </w:r>
    </w:p>
    <w:p>
      <w:pPr>
        <w:spacing w:before="100" w:after="140" w:line="264"/>
      </w:pPr>
      <w:r>
        <w:rPr>
          <w:rFonts w:ascii="Calibri" w:hAnsi="Calibri" w:eastAsia="Calibri"/>
          <w:b w:val="false"/>
          <w:bCs w:val="false"/>
          <w:i w:val="false"/>
          <w:iCs w:val="false"/>
          <w:sz w:val="20"/>
          <w:szCs w:val="20"/>
        </w:rPr>
        <w:t xml:space="preserve">Reply deadline: we kindly ask you to submit your quotation within 3 (three) weeks from receipt of this request to stepan@kvantpro.com. Please confirm receipt of this request.</w:t>
      </w:r>
    </w:p>
    <w:p>
      <w:pPr>
        <w:spacing w:before="100" w:after="140" w:line="264"/>
      </w:pPr>
      <w:r>
        <w:rPr>
          <w:rFonts w:ascii="Calibri" w:hAnsi="Calibri" w:eastAsia="Calibri"/>
          <w:b w:val="false"/>
          <w:bCs w:val="false"/>
          <w:i w:val="false"/>
          <w:iCs w:val="false"/>
          <w:sz w:val="20"/>
          <w:szCs w:val="20"/>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before="100" w:after="140" w:line="264"/>
      </w:pPr>
      <w:r>
        <w:rPr>
          <w:rFonts w:ascii="Calibri" w:hAnsi="Calibri" w:eastAsia="Calibri"/>
          <w:b w:val="false"/>
          <w:bCs w:val="false"/>
          <w:i w:val="false"/>
          <w:iCs w:val="false"/>
          <w:sz w:val="20"/>
          <w:szCs w:val="20"/>
        </w:rPr>
        <w:t xml:space="preserve">Contact person: Stepan Kharkov, KVANT LLC, stepan@kvantpro.com.</w:t>
      </w:r>
    </w:p>
    <w:p>
      <w:pPr>
        <w:spacing w:before="100" w:after="140" w:line="264"/>
      </w:pPr>
      <w:r>
        <w:rPr>
          <w:rFonts w:ascii="Calibri" w:hAnsi="Calibri" w:eastAsia="Calibri"/>
          <w:b w:val="false"/>
          <w:bCs w:val="false"/>
          <w:i w:val="false"/>
          <w:iCs w:val="false"/>
          <w:sz w:val="20"/>
          <w:szCs w:val="20"/>
        </w:rPr>
        <w:t xml:space="preserve">Annex 1: Technical requirements for the item of this request.</w:t>
      </w:r>
    </w:p>
    <w:p>
      <w:pPr>
        <w:keepNext/>
        <w:pBdr>
          <w:bottom w:val="single" w:color="BFBFBF" w:sz="6" w:space="4"/>
        </w:pBdr>
        <w:spacing w:before="300" w:after="140" w:line="276"/>
      </w:pPr>
      <w:r>
        <w:rPr>
          <w:rFonts w:ascii="Calibri" w:hAnsi="Calibri" w:eastAsia="Calibri"/>
          <w:b/>
          <w:bCs/>
          <w:i w:val="false"/>
          <w:iCs w:val="false"/>
          <w:sz w:val="24"/>
          <w:szCs w:val="24"/>
        </w:rPr>
        <w:t xml:space="preserve">Annex 1. Technical requirements</w:t>
      </w:r>
    </w:p>
    <w:p>
      <w:pPr>
        <w:spacing w:before="0" w:after="160" w:line="264"/>
      </w:pPr>
      <w:r>
        <w:rPr>
          <w:rFonts w:ascii="Calibri" w:hAnsi="Calibri" w:eastAsia="Calibri"/>
          <w:b w:val="false"/>
          <w:bCs w:val="false"/>
          <w:i w:val="false"/>
          <w:iCs w:val="false"/>
          <w:color w:val="595959"/>
          <w:sz w:val="18"/>
          <w:szCs w:val="18"/>
        </w:rPr>
        <w:t xml:space="preserve">To RFQ No. OVE75-RFQ-21 · Values follow the Customer’s input data and technical assignment; Basic Engineering (FEED) stage, subject to refinement at the next stage.</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RFQ item</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Weighing equipment for commercial metering</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Summary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Accuracy class “high”; open software components for automatic data transfer; set of calibration weights and a 2-year spare parts kit</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Specific requirements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Listing in the Russian State Register of Measuring Instruments and supply with initial verification are mandatory</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Calibri" w:hAnsi="Calibri" w:eastAsia="Calibri"/>
          <w:b/>
          <w:bCs/>
          <w:i w:val="false"/>
          <w:iCs w:val="false"/>
          <w:sz w:val="20"/>
          <w:szCs w:val="20"/>
        </w:rPr>
        <w:t xml:space="preserve">Equipment covered by this request:</w:t>
      </w:r>
    </w:p>
    <w:p>
      <w:pPr>
        <w:pStyle w:val="ListParagraph"/>
        <w:keepNext/>
        <w:numPr>
          <w:ilvl w:val="0"/>
          <w:numId w:val="3"/>
        </w:numPr>
        <w:spacing w:before="160" w:after="100"/>
        <w:ind w:left="640" w:hanging="360"/>
      </w:pPr>
      <w:r>
        <w:rPr>
          <w:rFonts w:ascii="Calibri" w:hAnsi="Calibri" w:eastAsia="Calibri"/>
          <w:b/>
          <w:bCs/>
          <w:i w:val="false"/>
          <w:iCs w:val="false"/>
          <w:sz w:val="20"/>
          <w:szCs w:val="20"/>
        </w:rPr>
        <w:t xml:space="preserve">Commercial metering and lot make-up equipment</w:t>
      </w:r>
      <w:r>
        <w:rPr>
          <w:rFonts w:ascii="Calibri" w:hAnsi="Calibri" w:eastAsia="Calibri"/>
          <w:b w:val="false"/>
          <w:bCs w:val="false"/>
          <w:i w:val="false"/>
          <w:iCs w:val="false"/>
          <w:color w:val="595959"/>
          <w:sz w:val="20"/>
          <w:szCs w:val="20"/>
        </w:rPr>
        <w:t xml:space="preserve">   —   Metering</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Duty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Weighing, metering and make-up of shipping lots with issue of standardized accompanying documentation</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Key parameters</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Accuracy class of the weighing equipment — “high” (Annex No. 5); supplied with calibration weights and a 2-year spare parts kit</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Calibri" w:hAnsi="Calibri" w:eastAsia="Calibri"/>
                <w:b/>
                <w:bCs/>
                <w:i w:val="false"/>
                <w:iCs w:val="false"/>
                <w:sz w:val="20"/>
                <w:szCs w:val="20"/>
              </w:rPr>
              <w:t xml:space="preserve">Quantity</w:t>
            </w:r>
          </w:p>
        </w:tc>
        <w:tc>
          <w:tcPr>
            <w:tcW w:type="dxa" w:w="6338"/>
            <w:tcMar>
              <w:top w:type="dxa" w:w="60"/>
              <w:left w:type="dxa" w:w="100"/>
              <w:bottom w:type="dxa" w:w="60"/>
              <w:right w:type="dxa" w:w="100"/>
            </w:tcMar>
            <w:vAlign w:val="top"/>
          </w:tcPr>
          <w:p>
            <w:pPr>
              <w:spacing w:before="0" w:after="0" w:line="264"/>
            </w:pPr>
            <w:r>
              <w:rPr>
                <w:rFonts w:ascii="Calibri" w:hAnsi="Calibri" w:eastAsia="Calibri"/>
                <w:b w:val="false"/>
                <w:bCs w:val="false"/>
                <w:i w:val="false"/>
                <w:iCs w:val="false"/>
                <w:sz w:val="20"/>
                <w:szCs w:val="20"/>
              </w:rPr>
              <w:t xml:space="preserve">One complete set</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Calibri" w:hAnsi="Calibri" w:eastAsia="Calibri"/>
          <w:b w:val="false"/>
          <w:bCs w:val="false"/>
          <w:i w:val="false"/>
          <w:iCs w:val="false"/>
          <w:sz w:val="20"/>
          <w:szCs w:val="20"/>
        </w:rPr>
        <w:t xml:space="preserve">The quotation must confirm: process medium, temperature, pressure, materials of wetted parts, capacity, dimensions and weight, power consumption, manufacturing lead time, delivery terms.</w:t>
      </w:r>
    </w:p>
    <w:p>
      <w:r>
        <w:br w:type="page"/>
      </w:r>
    </w:p>
    <w:p>
      <w:pPr>
        <w:pBdr>
          <w:bottom w:val="single" w:color="BFBFBF" w:sz="6" w:space="4"/>
        </w:pBdr>
        <w:spacing w:before="0" w:after="200"/>
      </w:pPr>
      <w:r>
        <w:rPr>
          <w:rFonts w:ascii="Noto Sans CJK SC" w:hAnsi="Noto Sans CJK SC" w:eastAsia="Noto Sans CJK SC"/>
          <w:b/>
          <w:bCs/>
          <w:i w:val="false"/>
          <w:iCs w:val="false"/>
          <w:color w:val="595959"/>
          <w:sz w:val="18"/>
          <w:szCs w:val="18"/>
        </w:rPr>
        <w:t xml:space="preserve">Part 2 — 中文</w:t>
      </w:r>
    </w:p>
    <w:p>
      <w:pPr>
        <w:spacing w:before="0" w:after="200" w:line="276"/>
        <w:jc w:val="left"/>
      </w:pPr>
      <w:r>
        <w:rPr>
          <w:rFonts w:ascii="Noto Sans CJK SC" w:hAnsi="Noto Sans CJK SC" w:eastAsia="Noto Sans CJK SC"/>
          <w:b/>
          <w:bCs/>
          <w:i w:val="false"/>
          <w:iCs w:val="false"/>
          <w:sz w:val="28"/>
          <w:szCs w:val="28"/>
        </w:rPr>
        <w:t xml:space="preserve">预算性技术商务报价请求书 编号 OVE75-RFQ-21</w:t>
      </w:r>
    </w:p>
    <w:p>
      <w:pPr>
        <w:spacing w:before="0" w:after="200" w:line="264"/>
      </w:pPr>
      <w:r>
        <w:rPr>
          <w:rFonts w:ascii="Noto Sans CJK SC" w:hAnsi="Noto Sans CJK SC" w:eastAsia="Noto Sans CJK SC"/>
          <w:b/>
          <w:bCs/>
          <w:i w:val="false"/>
          <w:iCs w:val="false"/>
          <w:sz w:val="20"/>
          <w:szCs w:val="20"/>
        </w:rPr>
        <w:t xml:space="preserve">询价标的：</w:t>
      </w:r>
      <w:r>
        <w:rPr>
          <w:rFonts w:ascii="Noto Sans CJK SC" w:hAnsi="Noto Sans CJK SC" w:eastAsia="Noto Sans CJK SC"/>
          <w:b w:val="false"/>
          <w:bCs w:val="false"/>
          <w:i w:val="false"/>
          <w:iCs w:val="false"/>
          <w:sz w:val="20"/>
          <w:szCs w:val="20"/>
        </w:rPr>
        <w:t xml:space="preserve">贸易结算计量用称重设备。</w:t>
      </w:r>
    </w:p>
    <w:p>
      <w:pPr>
        <w:spacing w:before="0" w:after="160" w:line="264"/>
      </w:pPr>
      <w:r>
        <w:rPr>
          <w:rFonts w:ascii="Noto Sans CJK SC" w:hAnsi="Noto Sans CJK SC" w:eastAsia="Noto Sans CJK SC"/>
          <w:b w:val="false"/>
          <w:bCs w:val="false"/>
          <w:i w:val="false"/>
          <w:iCs w:val="false"/>
          <w:sz w:val="20"/>
          <w:szCs w:val="20"/>
        </w:rPr>
        <w:t xml:space="preserve">KVANT LLC（俄罗斯联邦）在年产 75,000 吨阴极铜的铜冶炼厂——即“焙烧—浸出—电积”联合装置——建设项目的基础工程（FEED）阶段，谨请贵方就上述标的提交预算性技术商务报价（预算报价）。该厂拟建于俄罗斯西北部一处在役冶金厂区。</w:t>
      </w:r>
    </w:p>
    <w:p>
      <w:pPr>
        <w:spacing w:before="0" w:after="160" w:line="264"/>
      </w:pPr>
      <w:r>
        <w:rPr>
          <w:rFonts w:ascii="Noto Sans CJK SC" w:hAnsi="Noto Sans CJK SC" w:eastAsia="Noto Sans CJK SC"/>
          <w:b w:val="false"/>
          <w:bCs w:val="false"/>
          <w:i w:val="false"/>
          <w:iCs w:val="false"/>
          <w:sz w:val="20"/>
          <w:szCs w:val="20"/>
        </w:rPr>
        <w:t xml:space="preserve">标的简要说明：精度等级为“高”；具备用于自动数据传输的开放式软件组件；配套校准砝码及 2 年用量的备件。 技术要求见本请求书附件 1。</w:t>
      </w:r>
    </w:p>
    <w:p>
      <w:pPr>
        <w:spacing w:before="0" w:after="80" w:line="264"/>
      </w:pPr>
      <w:r>
        <w:rPr>
          <w:rFonts w:ascii="Noto Sans CJK SC" w:hAnsi="Noto Sans CJK SC" w:eastAsia="Noto Sans CJK SC"/>
          <w:b w:val="false"/>
          <w:bCs w:val="false"/>
          <w:i w:val="false"/>
          <w:iCs w:val="false"/>
          <w:sz w:val="20"/>
          <w:szCs w:val="20"/>
        </w:rPr>
        <w:t xml:space="preserve">请在报价中包含以下内容：</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预算价格——分别按 EXW（制造厂仓库）和 DDP 俄罗斯西北部项目现场交货条件分别报价（Incoterms 2020），并注明币种和报价有效期；</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制造周期和预计交货期（自订单／预付款之日起的周数）；</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重量及外形数据：单台设备和最大运输分块的外形尺寸与重量（用于物流方案研究）；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类似供货业绩清单：产品、工艺工况及参数、供货年份、国家；</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与工艺介质接触部件的材质，以及供货范围（仪表、备件、文件资料）；</w:t>
      </w:r>
    </w:p>
    <w:p>
      <w:pPr>
        <w:pStyle w:val="ListParagraph"/>
        <w:numPr>
          <w:ilvl w:val="0"/>
          <w:numId w:val="4"/>
        </w:numPr>
        <w:spacing w:before="0" w:after="60" w:line="264"/>
        <w:ind w:left="640" w:hanging="360"/>
      </w:pPr>
      <w:r>
        <w:rPr>
          <w:rFonts w:ascii="Noto Sans CJK SC" w:hAnsi="Noto Sans CJK SC" w:eastAsia="Noto Sans CJK SC"/>
          <w:b w:val="false"/>
          <w:bCs w:val="false"/>
          <w:i w:val="false"/>
          <w:iCs w:val="false"/>
          <w:sz w:val="20"/>
          <w:szCs w:val="20"/>
        </w:rPr>
        <w:t xml:space="preserve">能源介质消耗量和安装要求（如有相关数据）。</w:t>
      </w:r>
    </w:p>
    <w:p>
      <w:pPr>
        <w:spacing w:before="100" w:after="140" w:line="264"/>
      </w:pPr>
      <w:r>
        <w:rPr>
          <w:rFonts w:ascii="Noto Sans CJK SC" w:hAnsi="Noto Sans CJK SC" w:eastAsia="Noto Sans CJK SC"/>
          <w:b w:val="false"/>
          <w:bCs w:val="false"/>
          <w:i w:val="false"/>
          <w:iCs w:val="false"/>
          <w:sz w:val="20"/>
          <w:szCs w:val="20"/>
        </w:rPr>
        <w:t xml:space="preserve">本询价属基础工程（FEED）阶段的预算性询价：不构成要约，对双方不产生任何义务；细化的技术数据表将在项目下一阶段发出。</w:t>
      </w:r>
    </w:p>
    <w:p>
      <w:pPr>
        <w:spacing w:before="100" w:after="140" w:line="264"/>
      </w:pPr>
      <w:r>
        <w:rPr>
          <w:rFonts w:ascii="Noto Sans CJK SC" w:hAnsi="Noto Sans CJK SC" w:eastAsia="Noto Sans CJK SC"/>
          <w:b w:val="false"/>
          <w:bCs w:val="false"/>
          <w:i w:val="false"/>
          <w:iCs w:val="false"/>
          <w:sz w:val="20"/>
          <w:szCs w:val="20"/>
        </w:rPr>
        <w:t xml:space="preserve">回复期限：请自收到本请求书之日起 3（三）周内将报价发送至 stepan@kvantpro.com。请确认收到本请求书。</w:t>
      </w:r>
    </w:p>
    <w:p>
      <w:pPr>
        <w:spacing w:before="100" w:after="140" w:line="264"/>
      </w:pPr>
      <w:r>
        <w:rPr>
          <w:rFonts w:ascii="Noto Sans CJK SC" w:hAnsi="Noto Sans CJK SC" w:eastAsia="Noto Sans CJK SC"/>
          <w:b w:val="false"/>
          <w:bCs w:val="false"/>
          <w:i w:val="false"/>
          <w:iCs w:val="false"/>
          <w:sz w:val="20"/>
          <w:szCs w:val="20"/>
        </w:rPr>
        <w:t xml:space="preserve">保密。本请求书及所附技术资料仅供编制报价之用，属保密信息，未经 KVANT LLC 事先书面同意，不得向第三方披露、复制或公开发表。提交报价不对双方产生法律义务。</w:t>
      </w:r>
    </w:p>
    <w:p>
      <w:pPr>
        <w:spacing w:before="100" w:after="140" w:line="264"/>
      </w:pPr>
      <w:r>
        <w:rPr>
          <w:rFonts w:ascii="Noto Sans CJK SC" w:hAnsi="Noto Sans CJK SC" w:eastAsia="Noto Sans CJK SC"/>
          <w:b w:val="false"/>
          <w:bCs w:val="false"/>
          <w:i w:val="false"/>
          <w:iCs w:val="false"/>
          <w:sz w:val="20"/>
          <w:szCs w:val="20"/>
        </w:rPr>
        <w:t xml:space="preserve">联系人：Stepan Kharkov, KVANT LLC, stepan@kvantpro.com。</w:t>
      </w:r>
    </w:p>
    <w:p>
      <w:pPr>
        <w:spacing w:before="100" w:after="140" w:line="264"/>
      </w:pPr>
      <w:r>
        <w:rPr>
          <w:rFonts w:ascii="Noto Sans CJK SC" w:hAnsi="Noto Sans CJK SC" w:eastAsia="Noto Sans CJK SC"/>
          <w:b w:val="false"/>
          <w:bCs w:val="false"/>
          <w:i w:val="false"/>
          <w:iCs w:val="false"/>
          <w:sz w:val="20"/>
          <w:szCs w:val="20"/>
        </w:rPr>
        <w:t xml:space="preserve">附件 1：本询价标的的技术要求。</w:t>
      </w:r>
    </w:p>
    <w:p>
      <w:pPr>
        <w:keepNext/>
        <w:pBdr>
          <w:bottom w:val="single" w:color="BFBFBF" w:sz="6" w:space="4"/>
        </w:pBdr>
        <w:spacing w:before="300" w:after="140" w:line="276"/>
      </w:pPr>
      <w:r>
        <w:rPr>
          <w:rFonts w:ascii="Noto Sans CJK SC" w:hAnsi="Noto Sans CJK SC" w:eastAsia="Noto Sans CJK SC"/>
          <w:b/>
          <w:bCs/>
          <w:i w:val="false"/>
          <w:iCs w:val="false"/>
          <w:sz w:val="24"/>
          <w:szCs w:val="24"/>
        </w:rPr>
        <w:t xml:space="preserve">附件 1. 技术要求</w:t>
      </w:r>
    </w:p>
    <w:p>
      <w:pPr>
        <w:spacing w:before="0" w:after="160" w:line="264"/>
      </w:pPr>
      <w:r>
        <w:rPr>
          <w:rFonts w:ascii="Noto Sans CJK SC" w:hAnsi="Noto Sans CJK SC" w:eastAsia="Noto Sans CJK SC"/>
          <w:b w:val="false"/>
          <w:bCs w:val="false"/>
          <w:i w:val="false"/>
          <w:iCs w:val="false"/>
          <w:color w:val="595959"/>
          <w:sz w:val="18"/>
          <w:szCs w:val="18"/>
        </w:rPr>
        <w:t xml:space="preserve">针对询价编号 OVE75-RFQ-21 · 参数依据业主提供的原始数据和技术任务书；基础工程（FEED）阶段，下一阶段可能进一步细化。</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询价标的</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贸易结算计量用称重设备</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简要说明</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精度等级为“高”；具备用于自动数据传输的开放式软件组件；配套校准砝码及 2 年用量的备件</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特殊要求</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必须列入俄罗斯联邦计量器具国家名录，并在供货时完成首次检定</w:t>
            </w:r>
          </w:p>
        </w:tc>
      </w:tr>
    </w:tbl>
    <w:p>
      <w:pPr>
        <w:spacing w:before="0" w:after="200" w:line="264"/>
      </w:pPr>
      <w:r>
        <w:rPr>
          <w:rFonts w:ascii="Calibri" w:hAnsi="Calibri" w:eastAsia="Calibri"/>
          <w:b w:val="false"/>
          <w:bCs w:val="false"/>
          <w:i w:val="false"/>
          <w:iCs w:val="false"/>
          <w:sz w:val="20"/>
          <w:szCs w:val="20"/>
        </w:rPr>
        <w:t xml:space="preserve"/>
      </w:r>
    </w:p>
    <w:p>
      <w:pPr>
        <w:spacing w:before="0" w:after="120" w:line="264"/>
      </w:pPr>
      <w:r>
        <w:rPr>
          <w:rFonts w:ascii="Noto Sans CJK SC" w:hAnsi="Noto Sans CJK SC" w:eastAsia="Noto Sans CJK SC"/>
          <w:b/>
          <w:bCs/>
          <w:i w:val="false"/>
          <w:iCs w:val="false"/>
          <w:sz w:val="20"/>
          <w:szCs w:val="20"/>
        </w:rPr>
        <w:t xml:space="preserve">本询价涵盖的设备：</w:t>
      </w:r>
    </w:p>
    <w:p>
      <w:pPr>
        <w:pStyle w:val="ListParagraph"/>
        <w:keepNext/>
        <w:numPr>
          <w:ilvl w:val="0"/>
          <w:numId w:val="5"/>
        </w:numPr>
        <w:spacing w:before="160" w:after="100"/>
        <w:ind w:left="640" w:hanging="360"/>
      </w:pPr>
      <w:r>
        <w:rPr>
          <w:rFonts w:ascii="Noto Sans CJK SC" w:hAnsi="Noto Sans CJK SC" w:eastAsia="Noto Sans CJK SC"/>
          <w:b/>
          <w:bCs/>
          <w:i w:val="false"/>
          <w:iCs w:val="false"/>
          <w:sz w:val="20"/>
          <w:szCs w:val="20"/>
        </w:rPr>
        <w:t xml:space="preserve">贸易结算计量及组批设备</w:t>
      </w:r>
      <w:r>
        <w:rPr>
          <w:rFonts w:ascii="Noto Sans CJK SC" w:hAnsi="Noto Sans CJK SC" w:eastAsia="Noto Sans CJK SC"/>
          <w:b w:val="false"/>
          <w:bCs w:val="false"/>
          <w:i w:val="false"/>
          <w:iCs w:val="false"/>
          <w:color w:val="595959"/>
          <w:sz w:val="20"/>
          <w:szCs w:val="20"/>
        </w:rPr>
        <w:t xml:space="preserve">   —   计量</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338"/>
      </w:tblGrid>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用途</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称重、计量、组成发运批次并出具标准化随行文件</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主要参数</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称重设备精度等级为“高”（附件第 5 号）；供货时配套校准砝码及 2 年用量的备件</w:t>
            </w:r>
          </w:p>
        </w:tc>
      </w:tr>
      <w:tr>
        <w:tc>
          <w:tcPr>
            <w:tcW w:type="dxa" w:w="3300"/>
            <w:shd w:fill="F2F2F2" w:color="auto" w:val="clear"/>
            <w:tcMar>
              <w:top w:type="dxa" w:w="60"/>
              <w:left w:type="dxa" w:w="100"/>
              <w:bottom w:type="dxa" w:w="60"/>
              <w:right w:type="dxa" w:w="100"/>
            </w:tcMar>
            <w:vAlign w:val="top"/>
          </w:tcPr>
          <w:p>
            <w:pPr>
              <w:spacing w:before="0" w:after="0" w:line="264"/>
            </w:pPr>
            <w:r>
              <w:rPr>
                <w:rFonts w:ascii="Noto Sans CJK SC" w:hAnsi="Noto Sans CJK SC" w:eastAsia="Noto Sans CJK SC"/>
                <w:b/>
                <w:bCs/>
                <w:i w:val="false"/>
                <w:iCs w:val="false"/>
                <w:sz w:val="20"/>
                <w:szCs w:val="20"/>
              </w:rPr>
              <w:t xml:space="preserve">数量</w:t>
            </w:r>
          </w:p>
        </w:tc>
        <w:tc>
          <w:tcPr>
            <w:tcW w:type="dxa" w:w="6338"/>
            <w:tcMar>
              <w:top w:type="dxa" w:w="60"/>
              <w:left w:type="dxa" w:w="100"/>
              <w:bottom w:type="dxa" w:w="60"/>
              <w:right w:type="dxa" w:w="100"/>
            </w:tcMar>
            <w:vAlign w:val="top"/>
          </w:tcPr>
          <w:p>
            <w:pPr>
              <w:spacing w:before="0" w:after="0" w:line="264"/>
            </w:pPr>
            <w:r>
              <w:rPr>
                <w:rFonts w:ascii="Noto Sans CJK SC" w:hAnsi="Noto Sans CJK SC" w:eastAsia="Noto Sans CJK SC"/>
                <w:b w:val="false"/>
                <w:bCs w:val="false"/>
                <w:i w:val="false"/>
                <w:iCs w:val="false"/>
                <w:sz w:val="20"/>
                <w:szCs w:val="20"/>
              </w:rPr>
              <w:t xml:space="preserve">成套（1 套）</w:t>
            </w:r>
          </w:p>
        </w:tc>
      </w:tr>
    </w:tbl>
    <w:p>
      <w:pPr>
        <w:spacing w:before="0" w:after="120" w:line="264"/>
      </w:pPr>
      <w:r>
        <w:rPr>
          <w:rFonts w:ascii="Calibri" w:hAnsi="Calibri" w:eastAsia="Calibri"/>
          <w:b w:val="false"/>
          <w:bCs w:val="false"/>
          <w:i w:val="false"/>
          <w:iCs w:val="false"/>
          <w:sz w:val="20"/>
          <w:szCs w:val="20"/>
        </w:rPr>
        <w:t xml:space="preserve"/>
      </w:r>
    </w:p>
    <w:p>
      <w:pPr>
        <w:spacing w:before="160" w:after="0" w:line="264"/>
      </w:pPr>
      <w:r>
        <w:rPr>
          <w:rFonts w:ascii="Noto Sans CJK SC" w:hAnsi="Noto Sans CJK SC" w:eastAsia="Noto Sans CJK SC"/>
          <w:b w:val="false"/>
          <w:bCs w:val="false"/>
          <w:i w:val="false"/>
          <w:iCs w:val="false"/>
          <w:sz w:val="20"/>
          <w:szCs w:val="20"/>
        </w:rPr>
        <w:t xml:space="preserve">报价中必须予以确认的内容：工艺介质、温度、压力、接触部件材质、生产能力、外形尺寸和重量、耗电量、制造周期、交货条件。</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60"/>
      </w:pPr>
    </w:lvl>
  </w:abstractNum>
  <w:abstractNum w:abstractNumId="3" w15:restartNumberingAfterBreak="0">
    <w:multiLevelType w:val="hybridMultilevel"/>
    <w:lvl w:ilvl="0" w15:tentative="1">
      <w:start w:val="1"/>
      <w:numFmt w:val="decimal"/>
      <w:lvlText w:val="%1."/>
      <w:lvlJc w:val="star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Commercial weighing equipment</dc:title>
  <dc:subject>Request for budgetary technical and commercial proposal OVE75-RFQ-21</dc:subject>
  <dc:creator>KVANT LLC</dc:creator>
  <cp:keywords>RFQ, budgetary quotation, copper, Commercial weighing equipment</cp:keywords>
  <dc:description>Bilingual (English / Chinese) request for a budgetary technical and commercial proposal, OVE75-RFQ-21.</dc:description>
  <cp:lastModifiedBy>KVANT LLC</cp:lastModifiedBy>
  <cp:revision>1</cp:revision>
  <dcterms:created xsi:type="dcterms:W3CDTF">2026-09-01T12:11:42.857Z</dcterms:created>
  <dcterms:modified xsi:type="dcterms:W3CDTF">2026-09-01T12:11:42.857Z</dcterms:modified>
</cp:coreProperties>
</file>

<file path=docProps/custom.xml><?xml version="1.0" encoding="utf-8"?>
<Properties xmlns="http://schemas.openxmlformats.org/officeDocument/2006/custom-properties" xmlns:vt="http://schemas.openxmlformats.org/officeDocument/2006/docPropsVTypes"/>
</file>