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2026-08-15. К ТЗ на БИ v3.6 и ИД ч.1/ч.2.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Вердикты: ok — сходится (≤1,5 %), warn — в допуске модели, question — методологический вопрос Гипроникелю. Расчёты подлежат рецензии инженера перед включением в БИ.</w:t>
      </w:r>
    </w:p>
    <w:p>
      <w:r>
        <w:rPr>
          <w:b/>
          <w:sz w:val="21"/>
        </w:rPr>
        <w:t xml:space="preserve">Итого: блоков 21, сверок 39 (сходится 31, в допуске 2, вопросов 6), находок для Гипроникеля 11.</w:t>
      </w:r>
    </w:p>
    <w:p/>
    <w:p>
      <w:pPr>
        <w:pStyle w:val="Heading1"/>
      </w:pPr>
      <w:r>
        <w:rPr>
          <w:b/>
          <w:sz w:val="28"/>
        </w:rPr>
        <w:t xml:space="preserve">1. Находки — вопросы к ИД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 занижено в ИД: неучтённые потребители дают ≈ +50 %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ТЭП завышается. Учесть в расчёте нагрузок (D-ТУ)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Выход по току в ИД явно не указан — запросить (мы приняли 92 %)</w:t>
      </w:r>
    </w:p>
    <w:p>
      <w:r>
        <w:rPr>
          <w:sz w:val="20"/>
        </w:rPr>
        <w:t xml:space="preserve">Все электрохимические цифры ИД самосогласованы при η ≈ 92 %.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Смена базиса: существующих цехов нет — новое строительство корпусов ЭЭ, купороса и склада (+7–10 млрд ₽, +18–24 мес)</w:t>
      </w:r>
    </w:p>
    <w:p>
      <w:r>
        <w:rPr>
          <w:sz w:val="20"/>
        </w:rPr>
        <w:t xml:space="preserve">ТЗ (п. 2.8.5, Лот 3) и Прил.№6 исходят из размещения в существующих зданиях ЦЭМ/ГМУ, но по вводной владельца зданий под размещение нет. Вынести Заказчику первым вопросом: какой базис закладывать в БИ? При новом строительстве: Прил.№6 не применяется, в состав БИ добавляются посадка на генплан и полные нагрузки нового корпуса, CAPEX +7–10 млрд ₽, срок +18–24 мес. Наша компоновка нового корпуса — блок NB-EW.</w:t>
      </w:r>
    </w:p>
    <w:p>
      <w:r>
        <w:rPr>
          <w:b/>
          <w:sz w:val="21"/>
        </w:rPr>
        <w:t xml:space="preserve">8. [ВАЖНО] «75 000 т/год» не обеспечены заявленным сырьём: доступно ~70,3 тыс. т (дефицит 6,3 %)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≈221/209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[уточнить] Запросить габарит печи КС (табл. 24/25 ИД) — наша оценка: под 47,7–59,7 м², Ø 7,8–8,7 м</w:t>
      </w:r>
    </w:p>
    <w:p>
      <w:r>
        <w:rPr>
          <w:sz w:val="20"/>
        </w:rPr>
        <w:t xml:space="preserve">Нужен для верификации напряжённости пода, скорости газа в свободном сечении (унос 19/29 %) и компоновки Цеха обжига.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2900"/>
        <w:gridCol w:w="2900"/>
        <w:gridCol w:w="12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  <w:tc>
          <w:tcPr>
            <w:tcW w:w="1238" w:type="dxa"/>
            <w:shd w:val="clear" w:fill="EFEFEF"/>
          </w:tcPr>
          <w:p>
            <w:r>
              <w:rPr>
                <w:b/>
                <w:sz w:val="19"/>
              </w:rPr>
              <w:t xml:space="preserve">Базис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X-CU; разделить мощность и выпуск (F-CAP)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качество катода не может гарантироваться безусловно при чужом сырье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1 942 кВт·ч/т (расчёт при η=92 %)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+5,5 % на старение анодов, рост КЗ, зимний режим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≈92 % (самосогласование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F-ETA: значение в ИД не зафиксировано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граница самого ТЗ; запас ×2 к расчёту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гарантии изготовителя ЭФ ≥96 %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перенос финальной гарантии на vendor data (D-09)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диапазон 9–16 % по режимам; стабильность ±1,5 % абс. за 15 мин — контуром АСУ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СКЦ важнее стабильность, чем абсолют; гарантия при составе шихты по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F-HEAT: тепловой эффект под вопросом (наша оценка +20 %)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+11/9 % на пусковые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F-O2: базис нормы не подтверждён (+7,5 % запас)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точка росы 221/209 °C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L1-DEW / F-DEW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F-KUPOROS: базис 25,7 % не подтверждён — гарантируем достижимое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F-CL: хлор на пределе для 316L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запас на первый год освоения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7,6 млн кВт·ч/год с досчётом (ИД: 4,95)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7,6 млн кВт·ч/год; в ТУ — среднюю 1,0 МВт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F-EL1: воздуходувка/вакуум/аспирация не нормированы в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Прил. №5 и Методика ЕТТ — их же требования, фиксируем как гарантию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(F-HEAT)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(F-EL1)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≈7.7 млн кВт·ч (+56 %).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принято 92 % (типовой диапазон ЭЭ меди 88–94 %) [допущение КВАНТ — в ИД явно не приведён]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0,92) = 41 087 А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41 087 / (84 × 2 × 1,0 м²) = 245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0,92 = 2,12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МВт; ток из мощности: 41 089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→ 77,7 тыс,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77,7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+0,86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самосогласована: ток ванны ≈41 087 А (плотность 245 А/м² номинал), напряжение 2.12 В, мощность выпрямления ≈15.7 МВт (два независимых пути сходятся в 0,1 %). Запас до 280 А/м² подтверждает 76,7 тыс. т/год. Выход по току 92 % — наше допущение, у Гипроникеля запросить принятое значение.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8 413 ч = 68 756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68 756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NB-EW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Вводная владельца: существующих цехов нет — проектируем новый корпус (15.08.2026) [решение КВАНТ; противоречит базису ТЗ/Прил.№6 — см. F-BUILD] · Ванны: 180 шт. (2 серии × 90, ряды по 45); 84 катода/ванну, шаг ≈100 мм [ИД ч.2 п. 4.2.2, п. 1.3.9]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9,6 × 1,45 м (84 катода × ~0,100 м + концевые)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45 × 1,55 = 69,8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 + зона КСМ 30 м + ремзона 20 м)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NB-COST · Стоимость нового строительства (замена «реконструкции существующих»)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NB-EW: ЭЭ+электролитное 128 тыс. м³; купорос 16; склад 32 [расчёт NB-EW]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 (≈$114 млн при 90 ₽/$)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Дельта к прежней строке «реконструкция» ($18M base), млн $ — смена базиса добавляет к CAPEX ~$70–100 млн — решение Заказчика обязательно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114,3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+534,78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Новое строительство вместо приспособления существующих зданий добавляет к CAPEX ≈10,3 млрд ₽ (сверх корпуса обжига, который и в ТЗ был новым) и ~18–24 месяца строительного цикла. Строка CAPEX «реконструкция ЦЭМ/ГМУ» заменена на три строки нового строительства — см. вкладку «Стройка · CAPEX».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 (D-ТУ, позиция E-04).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ДИ (позиция A-10 вкладки «Состав БИ»).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потери ГМЦ 0,10 % и оборотная незавершёнка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221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209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166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166,4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+10,92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221 °C (осн.) — в номинале тракт сухой, но конденсация начнётся на любой стенке холоднее ≈221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слой, под, напряжённость (санити-проверка габарита)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Время пребывания: 9 ч при 930 °C («обжиг намертво») [ИД разд. 2.3] · Огарок номинал: 10,34 т/ч [ИД табл. 22/23 (пересчёт)] · Плотность псевдоожиженного слоя: ≈1,3 т/м³ (вспученное состояние) [оценка КВАНТ (Class 5)]</w:t>
      </w:r>
    </w:p>
    <w:p>
      <w:r>
        <w:rPr>
          <w:b/>
          <w:sz w:val="20"/>
        </w:rPr>
        <w:t xml:space="preserve">Масса слоя:  </w:t>
      </w:r>
      <w:r>
        <w:rPr>
          <w:sz w:val="20"/>
        </w:rPr>
        <w:t xml:space="preserve">10,34 × 9 = 93,1 т</w:t>
      </w:r>
    </w:p>
    <w:p>
      <w:r>
        <w:rPr>
          <w:b/>
          <w:sz w:val="20"/>
        </w:rPr>
        <w:t xml:space="preserve">Объём слоя:  </w:t>
      </w:r>
      <w:r>
        <w:rPr>
          <w:sz w:val="20"/>
        </w:rPr>
        <w:t xml:space="preserve">71,6 м³; под при высоте 1,2–1,5 м: 47,7–59,7 м² (Ø 7,8–8,7 м)</w:t>
      </w:r>
    </w:p>
    <w:p>
      <w:r>
        <w:rPr>
          <w:b/>
          <w:sz w:val="20"/>
        </w:rPr>
        <w:t xml:space="preserve">Напряжённость пода:  </w:t>
      </w:r>
      <w:r>
        <w:rPr>
          <w:sz w:val="20"/>
        </w:rPr>
        <w:t xml:space="preserve">324 т/сут ÷ под = 5,4–6,8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пода, т/(м²·сут) — габарит печи из ИД (табл. 24/25) у нас отсутствует — запросить для верификации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</w:tbl>
    <w:p>
      <w:r>
        <w:rPr>
          <w:b/>
        </w:rPr>
        <w:t xml:space="preserve">Вывод: </w:t>
      </w:r>
      <w:r>
        <w:t xml:space="preserve">Оценка даёт под ≈47,7–59,7 м² (Ø 7,8–8,7 м) и напряжённость 5,4–6,8 т/(м²·сут) — в мировом диапазоне. Для точной верификации запросить габарит печи из ИД (в нашем пакете таблицы 24/25 нет) — иначе проверка вписываемости печи в здание Цеха обжига остаётся оценочной.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Под печи: 53,7 м² (середина оценки L1-BED) [расчёт L1-BED]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Рабочая скорость в слое:  </w:t>
      </w:r>
      <w:r>
        <w:rPr>
          <w:sz w:val="20"/>
        </w:rPr>
        <w:t xml:space="preserve">0,24 (ном,) / 0,28 (макс,)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u/u_mf — спокойный кипящий слой, режим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-12,34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+18,32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Слой работает при u/u_mf ≈ 1.8 — типовой спокойный режим КС. Крупный огарок (u_t ≈ 6 м/с) слой не покидает, свежий концентрат 25,5 мкм (u_t ≈ 0.04 м/с) выносится газом до укрупнения — это физическое объяснение пылевыноса 19 % (осн.) и его роста до 29 % во вспомогательном варианте (выше скорость газа). Зона сепарации над слоем и возврат пыли циклона — обязательные элементы; точную карту слоя даст CFD (кейс подготовлен).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