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 — инженерные решения БИ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Участок размещается в существующем здании Гидрометаллургического участка (ГМУ, бывший корпус «Минпрок», чертежи Приложения №7 к ТЗ — ФМ.01648). 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345 дней в году, 8322 ч (КИО 95 %, ИД ч.1 Приложение В).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 (C-96), перекрёстные ссылки на границы даны и как п.4.3, и как п.5.3 (C-97).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345 сут/год, 8322 ч, круглосуточно, КИО 95 %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(C-96);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Cu; принятый ИД состав 25,7 % Cu — в пределах округлений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0,05 %.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560–710 кг/ч.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4342 = 3634 (купорос) + 709 (маточник-1) т/год; невязка 0,05 %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(п. 1.3.13 ИД; r ≈ 2066 кДж/кг при T_нас ≈ 165 °C): Q = 2100 кг/ч × 2066 = 4,34 ГДж/ч = 1,21 МВт. Подогрев циркулирующего потока за проход: ΔT = Q/(G·cₚ) = 4,34·10⁶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(165 − 40 = 125 К, консервативно 119 К с учётом потерь): K = Q/(F·ΔT) = 1,21·10⁶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4,34·10⁶ / 2406 = 1804 кг/ч; сумма 2065 кг/ч против 2200 кг/ч по ИД — сходимость 94 %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2066 = 1,86 ГДж/ч = 0,52 МВт; ΔT за проход = 1,86·10⁶/(251×1250×3,3) = 1,8 К; K_треб = 0,52·10⁶/(25×125) ≈ 165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1,21 МВт (F=63 м²) и 0,52 МВт (F=25 м²); подогрев за проход 1,7–1,8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 Вт/(м²·К) при полном ΔT — запас поверхности ×5–7 на инкрустацию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расчёт 2,07 т/ч против 2,2 т/ч ИД (94 %)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Dу 350–400 мм; нитка 2 (139 м³/ч): ≈0,20 м → Dу 200–250 мм; ПЭБ (32 и 18 м³/ч): Dу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 — Dу 350–400; н.2 — Dу 200–250; ПЭБ — Dу 100–125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pPr>
        <w:pStyle w:val="Heading2"/>
      </w:pPr>
      <w:r>
        <w:rPr>
          <w:b/>
          <w:sz w:val="26"/>
        </w:rPr>
        <w:t xml:space="preserve">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2,5–2,6 м³/ч (н.2);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Dу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ТКП (2–3 на позицию)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технико-коммерческих предложений потенциальных поставщиков — не менее 2–3 ТКП на каждую позицию (испарительные установки 904L, центрифуги, вакуумное хозяйство, фасовка, насосы, АСУ); (2)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п. 4.3 ТЗ — с учётом поставки АСУ с прикладным программным обеспечением.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каждую позицию; оценка комплектной поставки с АСУ и ППО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