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val="888888"/>
          <w:sz w:val="18"/>
        </w:rPr>
        <w:t xml:space="preserve">ЧЕРНОВИК для внутреннего согласования · разделы с плейсхолдерами заполняет команда</w:t>
      </w:r>
    </w:p>
    <w:p>
      <w:r>
        <w:rPr>
          <w:b/>
          <w:sz w:val="32"/>
        </w:rPr>
        <w:t xml:space="preserve">Квалификационная справка участника. ООО «КВАНТ»</w:t>
      </w:r>
    </w:p>
    <w:p>
      <w:r>
        <w:rPr>
          <w:color w:val="444444"/>
          <w:sz w:val="19"/>
        </w:rPr>
        <w:t xml:space="preserve">К конкурсной процедуре по Базовому инжинирингу КГМК.ОВЭ-75 · 27.08.2026</w:t>
      </w:r>
    </w:p>
    <w:p>
      <w:pPr>
        <w:pStyle w:val="Heading2"/>
      </w:pPr>
      <w:r>
        <w:rPr>
          <w:b/>
          <w:sz w:val="25"/>
        </w:rPr>
        <w:t xml:space="preserve">1. Профиль компании</w:t>
      </w:r>
    </w:p>
    <w:p>
      <w:r>
        <w:rPr>
          <w:sz w:val="20"/>
        </w:rPr>
        <w:t xml:space="preserve">ООО «КВАНТ» — [краткий профиль: сорсинг и поставка промышленного оборудования, годы, штат]. Реквизиты: [ИНН/КПП/ОГРН, адрес].</w:t>
      </w:r>
    </w:p>
    <w:p>
      <w:pPr>
        <w:pStyle w:val="Heading2"/>
      </w:pPr>
      <w:r>
        <w:rPr>
          <w:b/>
          <w:sz w:val="25"/>
        </w:rPr>
        <w:t xml:space="preserve">2. Релевантный опыт</w:t>
      </w:r>
    </w:p>
    <w:p>
      <w:r>
        <w:rPr>
          <w:sz w:val="20"/>
        </w:rPr>
        <w:t xml:space="preserve">[перечень проектов поставки/инжиниринга: заказчик, предмет, год, объём — заполняет команда]</w:t>
      </w:r>
    </w:p>
    <w:p>
      <w:pPr>
        <w:pStyle w:val="Heading2"/>
      </w:pPr>
      <w:r>
        <w:rPr>
          <w:b/>
          <w:sz w:val="25"/>
        </w:rPr>
        <w:t xml:space="preserve">3. Технологические партнёрства по проекту</w:t>
      </w:r>
    </w:p>
    <w:p>
      <w:r>
        <w:rPr>
          <w:sz w:val="20"/>
        </w:rPr>
        <w:t xml:space="preserve">Технологическое сопровождение — привлечённый партнёр с действующим опытом медной металлургии (готов участвовать в проекте от Базового инжиниринга до гарантийных испытаний; сведения и референсы — по запросу организатора; письмо-обязательство предоставляется при необходимости). Дополнительно: изготовитель оборудования электролиза Jiangxi Tianxin Metallurgical Equipment (референсы и контакты подтверждены), резервные инжиниринговые институты КНР полного цикла.</w:t>
      </w:r>
    </w:p>
    <w:p>
      <w:pPr>
        <w:pStyle w:val="Heading2"/>
      </w:pPr>
      <w:r>
        <w:rPr>
          <w:b/>
          <w:sz w:val="25"/>
        </w:rPr>
        <w:t xml:space="preserve">4. Инструменты и задел по проекту</w:t>
      </w:r>
    </w:p>
    <w:p>
      <w:r>
        <w:rPr>
          <w:sz w:val="20"/>
        </w:rPr>
        <w:t xml:space="preserve">Собственная расчётная база по ОВЭ-75 (независимая модель: 21 блок, 40 сверок с ИД), реестр выверенных вопросов к пакету (передан Заказчику), план сорсинга — 114 верифицированных изготовителей по 27 закупочным позициям, черновики пояснительных записок по четырём лотам.</w:t>
      </w:r>
    </w:p>
    <w:p>
      <w:pPr>
        <w:pStyle w:val="Heading2"/>
      </w:pPr>
      <w:r>
        <w:rPr>
          <w:b/>
          <w:sz w:val="25"/>
        </w:rPr>
        <w:t xml:space="preserve">5. Кадровое обеспечение</w:t>
      </w:r>
    </w:p>
    <w:p>
      <w:r>
        <w:rPr>
          <w:sz w:val="20"/>
        </w:rPr>
        <w:t xml:space="preserve">[таблица ключевого персонала: роль, Ф.И.О., опыт, аттестации — заполняет команда]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