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Размещается в существующем корпусе электрорафинирования меди металлургического цеха (ЦЭМ) промплощадки АО «Кольская ГМК», г. Мончегорск.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основная часть возвращается на усреднение с богатым фильтратом (1038 тыс. м³/год), меньшая (27,3 тыс. м³/год) отсекается на выщелачивание огарка и растворение кристаллов медного купороса (ТЗ п. 5.1).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100 мм).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с 15.08.2026, вводная владельца: существующих цехов нет). Новый корпус 36 × 190 м (2 пролёта по 18 м), высота до низа ферм ~16 м: две серии по 90 ванн последовательно (ряд 45 ванн ≈ 70 м), торцевая зона КСМ 30 м, ремонтная зона 20 м,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(1,9 м³/т мощности — в практике tankhouse 1,5–2,5). Оценка стоимости и полный расчёт — вкладка «Расчёты», блоки NB-EW/NB-COST; CAPEX обновлён.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(C-94); сам «вариант размещения» (генплан) запрошен как ИД (Q-10).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 (Q-10); базис по лотам подтвердить через C-94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(v3.6 — п. 5.3; в v4.1 границы Лота №3 — п. 6.2)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v3.6)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(C-100).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 (C-100)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