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№4 · Склад готовой продукции — инженерные решения БИ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Склад готовой продукции (СГП) — завершающее звено комплекса ОВЭ-75: приём пакетов катодной меди с выходного конвейера катодосдирочной машины (КСМ), защитная упаковка, маркировка, коммерческий учёт, формирование отгрузочных партий и отгрузка железнодорожным и автомобильным транспортом. Границы проектирования (ТЗ п. 6.2): от передаточных ворот из отделения электроэкстракции меди до ворот отгрузки ж/д транспортом и ворот отгрузки автотранспортом.</w:t>
      </w:r>
    </w:p>
    <w:p>
      <w:r>
        <w:rPr>
          <w:sz w:val="20"/>
        </w:rPr>
        <w:t xml:space="preserve">СГП размещается смежно с отделением электроэкстракции в существующем корпусе электрорафинирования меди (ЦЭМ, Приложение №6 к ТЗ, чертежи ФМ-594хх): «как правило, в непосредственной близости к электролизному отделению расположен склад готовой продукции» (ИД ч.2 разд. 4.2.2); на плане ЦЭМ (ФМ-59415) зона склада готовой продукции выделена исторической планировкой. Ключевое требование ТЗ (п. 6.3): полностью автоматическое складирование с подсистемами позиционирования, завязанными на выходной конвейер КСМ, — все операции от приёмки пакетов до отгрузки партий в транспорт выполняются в автоматическом режиме; автоматизация — сквозная, с выводом показателей в единую диспетчерскую (ТЗ п. 2.10).</w:t>
      </w:r>
    </w:p>
    <w:p>
      <w:r>
        <w:rPr>
          <w:sz w:val="20"/>
        </w:rPr>
        <w:t xml:space="preserve">Режим приёмки — непрерывный, синхронно с электролизом (358 дней, 8585 ч/год); режим отгрузки — по графику подачи вагонов/автотранспорта. Продукция — медь катодная М00к по ГОСТ 859-2014 (BS EN 1978:1998, требования ЛБМ) в виде пакетов катодных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из электроэкстракции → ворота отгрузки ж/д и авто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6.2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ЦЭМ (пролёты 24 м, крановый пролёт 22 м, шаг колонн вдоль 6 м, длина корпуса ≈180 м, парапет ≈ +17,8)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 (ФМ-59413, ФМ-59415)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358 сут/год (8585 ч) — по режиму электролиза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5.4 (режим электроэкстракции)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Автоматизация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Полностью автоматический режим всех операций; позиционирование, завязанное на конвейер КСМ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6.3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57.13330.2011 — Складские здания — объёмно-планировочные требования к зоне СГП; СП 56.13330 (действующая редакция) — Производственные здания — совмещение склада с производственным корпусом ЦЭМ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Точные границы зоны СГП в ЦЭМ и трассировка передаточного конвейера — по компоновке Лота №3 (КСМ) и обследованию здания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подачи вагонов и автотранспорта — исходные данные сбытового блока</w:t>
      </w:r>
    </w:p>
    <w:p>
      <w:pPr>
        <w:pStyle w:val="Heading2"/>
      </w:pPr>
      <w:r>
        <w:rPr>
          <w:b/>
          <w:sz w:val="26"/>
        </w:rPr>
        <w:t xml:space="preserve">Данные об обрабатываемой продукции; параметры пакета</w:t>
      </w:r>
    </w:p>
    <w:p>
      <w:r>
        <w:rPr>
          <w:sz w:val="20"/>
        </w:rPr>
        <w:t xml:space="preserve">Продукция — пакеты (стопы) медных катодов с КСМ. Базовые параметры пакета противоречиво заданы в двух местах ИД и гармонизируются так: референсная КСМ формирует пакеты 1400–2000 кг (ИД ч.2, описание КСМ), однако по требованию сбытового блока (ИД п. 1.3.11, 4.2.2; ТЗ Лот №3) пакеты массой 2500 ± 50 кг должны быть увязаны тремя металлическими лентами из коррозионностойкого материала. Для расчётов СГП принят целевой пакет 2500 ± 50 кг; оборудование приёмки и хранения проверяется на диапазон 1400–2500 кг (переходные периоды, неполные пакеты).</w:t>
      </w:r>
    </w:p>
    <w:p>
      <w:r>
        <w:rPr>
          <w:sz w:val="20"/>
        </w:rPr>
        <w:t xml:space="preserve">РАСЧЁТНЫЕ ПАРАМЕТРЫ ПАКЕТА (показаны с выводом):
— Масса катодного листа: при токовой нагрузке 560 А/электрод, наращивании 6–7 сут и катодном выходе по току 89 % (ИД табл. 3.1) масса меди на матрицу m = I·τ·q·η = 560 × (6,5·24) × 1,1852 г/(А·ч) × 0,89 ≈ 92 кг, т.е. ≈46 кг на один лист (система SPLIT — два листа с матрицы). Пакет 2500 кг ≈ 54 листа (27 матриц).
— Габарит в плане ≈ 1000 × 1000 мм (рабочий размер катода по ИД табл. 3.1).
— Высота пакета: сплошная медь 2500/8920 = 0,28 м; с коэффициентом неплотности укладки листов 1,5–1,8 → 0,42–0,50 м (уточняется по данным поставщика КСМ).
— Опора пакета: без деревянных брусков — нижние листы профилируются в пределах КСМ («перфорация» для вилочных и крановых захватов); конфигурация профилирования должна быть увязана с грузозахватами СГП (ТЗ п. 5.3) — интерфейсное требование Лот №3 ↔ Лот №4.
— Увязка: 3 ленты из материала, стойкого к коррозии при длительной морской транспортировке и хранении под открытым небом; исключаются материалы, требующие особой сертификации или утилизации (ИД п. 1.3.11).</w:t>
      </w:r>
    </w:p>
    <w:p>
      <w:r>
        <w:rPr>
          <w:sz w:val="20"/>
        </w:rPr>
        <w:t xml:space="preserve">Поток продукции: 75 000 т/год = 30 000 пакетов/год (по 2,5 т); среднесуточно 75 000/358 = 209,5 т/сут = 84 пакета/сут; среднечасово 75 000/8585 = 8,74 т/ч = 3,5 пакета/ч (при пакетах 1,4–2,0 т — 4,4–6,2 пакета/ч: конвейер приёмки и штабелёры проверяются на 7 пакетов/ч пиковых).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(целевой)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2500 ± 50 кг; ≈54 листа × ≈46 кг; 1,0×1,0 м в плане; высота ≈0,42–0,50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(диапазон КСМ)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1400–2000 кг — проверочный диапазон оборудования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(описание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от 75 000 т/год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Марка продукции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М00к по ГОСТ 859-2014; SEN 420–450 мм; сумма примесей ≤0,0065 %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1.1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и химсостав катодной меди М00к; BS EN 1978:1998 — Cu-CATH-1 — требования ЛБМ к катодам (экспортный контракт)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Окончательная масса и высота пакета, конфигурация профилирования опорных листов — данные поставщика КСМ (Лот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Материал и сечение увязочных лент (нерж. лента) — по ТКП поставщика КСМ/упаковки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ОПЕРАЦИЯ 1. Приёмка. Пакет катодов с выходного (пакеторазгрузочного) конвейера КСМ проходит через передаточные ворота на приёмную позицию СГП (роликовый/цепной конвейер приёмки). Идентификация пакета — считывание номера пакета (этикетка/QR c КСМ), привязка к плавке/партии в ИС.</w:t>
      </w:r>
    </w:p>
    <w:p>
      <w:r>
        <w:rPr>
          <w:sz w:val="20"/>
        </w:rPr>
        <w:t xml:space="preserve">ОПЕРАЦИЯ 2. Входной весовой контроль. Автоматическое взвешивание каждого пакета на конвейерных платформенных весах (класс точности «высокий», НПВ 3 т): сверка с данными КСМ, допусковый контроль 2500 ± 50 кг; пакеты вне допуска — на позицию разбраковки (переукладка/доукомплектование, управление от АСУ).</w:t>
      </w:r>
    </w:p>
    <w:p>
      <w:r>
        <w:rPr>
          <w:sz w:val="20"/>
        </w:rPr>
        <w:t xml:space="preserve">ОПЕРАЦИЯ 3. Отбор проб. По заданию АСУ часть катодов направляется на сверловку (стружка «конвертом» по полотну листа) для химанализа партии; пробоотбор автоматизирован (сверловочный стенд), возврат листов в пакет.</w:t>
      </w:r>
    </w:p>
    <w:p>
      <w:r>
        <w:rPr>
          <w:sz w:val="20"/>
        </w:rPr>
        <w:t xml:space="preserve">ОПЕРАЦИЯ 4. Защитная упаковка и маркировка. Контроль/дотяжка увязки (3 коррозионностойкие ленты), при необходимости — защитная упаковка партии по требованию контракта; печать и нанесение этикеток (номер пакета, партия, масса брутто/нетто, марка М00к, производитель, дата) — принтеры термо (Zebra) и лазерный по Прил. №5; маркировка — по ГОСТ 14192-96.</w:t>
      </w:r>
    </w:p>
    <w:p>
      <w:r>
        <w:rPr>
          <w:sz w:val="20"/>
        </w:rPr>
        <w:t xml:space="preserve">ОПЕРАЦИЯ 5. Адресное размещение. Автопогрузчик-штабелёр по команде АСУ забирает пакет с позиции выдачи и ставит его по адресу в зоне хранения — по размеченным линиям, в стопы до 2 ярусов (базово); АСУ ведёт карту склада («что и где стоит») и назначает адреса по алгоритму (партия, срок, тип отгрузки).</w:t>
      </w:r>
    </w:p>
    <w:p>
      <w:r>
        <w:rPr>
          <w:sz w:val="20"/>
        </w:rPr>
        <w:t xml:space="preserve">ОПЕРАЦИЯ 6. Хранение и набор партии. Накопление отгрузочной партии (группа вагонов/судовая партия) с резервированием адресов; статус партии — после подтверждения химанализа проб.</w:t>
      </w:r>
    </w:p>
    <w:p>
      <w:r>
        <w:rPr>
          <w:sz w:val="20"/>
        </w:rPr>
        <w:t xml:space="preserve">ОПЕРАЦИЯ 7. Отгрузка ж/д. Подача вагонов к внутреннему фронту (ворота ж/д); погрузка: в полувагоны — мостовым краном с автоматической траверсой (захват за профилированные листы), в крытые вагоны — штабелёрами через дверной проём; вариант определяется родом подвижного состава (задание сбыта) — в БИ прорабатываются оба. Контроль массы — вагонные весы; размещение и крепление — по ТУ размещения и крепления грузов (ЦМ-943, уточнить редакцию).</w:t>
      </w:r>
    </w:p>
    <w:p>
      <w:r>
        <w:rPr>
          <w:sz w:val="20"/>
        </w:rPr>
        <w:t xml:space="preserve">ОПЕРАЦИЯ 8. Отгрузка авто. Погрузка штабелёром в автотранспорт у ворот автоотгрузки (2 поста), контроль — автомобильные весы.</w:t>
      </w:r>
    </w:p>
    <w:p>
      <w:r>
        <w:rPr>
          <w:sz w:val="20"/>
        </w:rPr>
        <w:t xml:space="preserve">ОПЕРАЦИЯ 9. Учёт и документы. Все взвешивания — в АИС весоизмерения с передачей в ХТД PIMS; формирование партийной и отгрузочной документации — автоматически (интеграция с ИС КСМ, которая «обеспечивает формирование партий отгружаемой продукции с оформлением стандартизированной сопровождаемой документации», ТЗ п. 5.3).</w:t>
      </w:r>
    </w:p>
    <w:p>
      <w:r>
        <w:rPr>
          <w:sz w:val="20"/>
        </w:rPr>
        <w:t xml:space="preserve">Все операции — в автоматическом режиме; ручной режим — наладка и нештатные ситуации (ТЗ п. 6.3).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3,5 пакета/ч средний, до 7 пакетов/ч пиковый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отгрузки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84 пакета/сут ≈ 3 полувагона/сут (27 пакетов = 67,5 т на вагон г/п ~69–70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Отбор проб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Сверловка части катодов по заданию АСУ (требование ТЗ п. 6.4)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6.4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грузов; ТУ размещения и крепления грузов в вагонах и контейнерах (ЦМ-943) — Схемы размещения и крепления пакетов в вагонах — уточнить действующую редакцию; Правила по охране труда при погрузочно-разгрузочных работах (приказ Минтруда № 753н от 28.10.2020) — Организация ПРР на фронтах отгрузки; ГОСТ 12.3.009-76 — Работы погрузочно-разгрузочные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и размер отгрузочной партии — задание сбытового блока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Схемы размещения и крепления пакетов в вагоне (НТУ/МТУ) — разработка на стадии ОТР/РД</w:t>
      </w:r>
    </w:p>
    <w:p>
      <w:pPr>
        <w:pStyle w:val="Heading2"/>
      </w:pPr>
      <w:r>
        <w:rPr>
          <w:b/>
          <w:sz w:val="26"/>
        </w:rPr>
        <w:t xml:space="preserve">Расчёт потребной ёмкости склада (буфера)</w:t>
      </w:r>
    </w:p>
    <w:p>
      <w:r>
        <w:rPr>
          <w:sz w:val="20"/>
        </w:rPr>
        <w:t xml:space="preserve">ИСХОДНОЕ: производство 75 000 т/год; приёмка непрерывная 209,5 т/сут (84 пакета/сут); отгрузка дискретная (подача вагонов, накопление партий).</w:t>
      </w:r>
    </w:p>
    <w:p>
      <w:r>
        <w:rPr>
          <w:sz w:val="20"/>
        </w:rPr>
        <w:t xml:space="preserve">ШАГ 1. Суточный поток: 75 000 / 358 = 209,5 т/сут = 83,8 ≈ 84 пакета/сут (по 2,5 т).</w:t>
      </w:r>
    </w:p>
    <w:p>
      <w:r>
        <w:rPr>
          <w:sz w:val="20"/>
        </w:rPr>
        <w:t xml:space="preserve">ШАГ 2. Составляющие буфера:
— накопление отгрузочной партии: маршрутная группа, например 20 полувагонов × 27 пакетов × 2,5 т = 1350 т (6,4 сут производства); одновременно начинается набор следующей партии;
— страховой запас на неподачу вагонов/непогоду: 2–3 сут = 420–630 т;
— технологический запас на подтверждение качества партии (химанализ проб): 1–2 сут = 210–420 т.
Диапазон проверки — отраслевой норматив хранения ГП 7–15 сут: 7 × 209,5 = 1467 т (587 пакетов); 15 × 209,5 = 3143 т (1257 пакетов).</w:t>
      </w:r>
    </w:p>
    <w:p>
      <w:r>
        <w:rPr>
          <w:sz w:val="20"/>
        </w:rPr>
        <w:t xml:space="preserve">ШАГ 3. Принятая расчётная ёмкость: 3000 т = 1200 пакетов ≈ 14,3 сут производства — покрывает партию 1350 т в наборе + готовую партию в ожидании подачи + страховой и технологический запасы. Минимально допустимая ёмкость (только при ритмичной подаче вагонов, партии ≤700 т) — 1500 т (7 сут, 600 пакетов).</w:t>
      </w:r>
    </w:p>
    <w:p>
      <w:r>
        <w:rPr>
          <w:sz w:val="20"/>
        </w:rPr>
        <w:t xml:space="preserve">ШАГ 4. Пятно хранения: 1200 пакетов / 2 яруса = 600 позиций × (1,1 × 1,1 м с зазорами 100 мм) = 726 м² чистого пятна; с проездами и маневровыми полосами штабелёров (коэффициент использования площади 0,45) — ≈1600 м² зона хранения. Итого с зонами приёмки/упаковки/весовой/разбраковки (400–500 м²) и фронтами отгрузки — ориентировочно 2500–3000 м² (см. раздел «Компоновка»).</w:t>
      </w:r>
    </w:p>
    <w:p>
      <w:r>
        <w:rPr>
          <w:sz w:val="20"/>
        </w:rPr>
        <w:t xml:space="preserve">ВЫВОД: потребный буфер СГП — 1200 пакетов (3000 т, ≈14 сут); размер подтверждается заданием сбыта по партиям — при судовых партиях &gt;3000 т ёмкость пересматривается в бóльшую сторону (резерв площади предусмотреть).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Приёмка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209,5 т/сут = 84 пакета/сут (75 000 т / 358 сут / 2,5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Партия ж/д (пример)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Полувагон 27 пакетов = 67,5 т; маршрут 20 вагонов = 1350 т = 6,4 сут производства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(г/п полувагона ~69–70 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Принятый буфер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1200 пакетов = 3000 т ≈ 14,3 суток (диапазон проверки 7–15 сут = 1467–3143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Пятно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600 позиций × 1,21 м² = 726 м²; с проездами (К=0,45) ≈ 1600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Размер и периодичность отгрузочных партий (маршруты, судовые партии) — задание сбытового блока: финальная калибровка буфера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Ярусность 2 или 3 — после обследования несущей способности пола ЦЭМ (при 3 ярусах буфер на той же площади ×1,5)</w:t>
      </w:r>
    </w:p>
    <w:p>
      <w:pPr>
        <w:pStyle w:val="Heading2"/>
      </w:pPr>
      <w:r>
        <w:rPr>
          <w:b/>
          <w:sz w:val="26"/>
        </w:rPr>
        <w:t xml:space="preserve">Компоновочные решения склада</w:t>
      </w:r>
    </w:p>
    <w:p>
      <w:r>
        <w:rPr>
          <w:sz w:val="20"/>
        </w:rPr>
        <w:t xml:space="preserve">Компоновка выполняется в существующем ЦЭМ (Приложение №6): многопролётный корпус, пролёты 24 м (крановые пролёты 22 м), шаг колонн вдоль здания 6 м, длина корпуса ≈180 м; компоновку по ТЗ вести с учётом сетки колонн 6/12 м с привязкой к осям и отметкам. Зона СГП — пролёт(ы), смежные с отделением электроэкстракции, с выходами на существующие ж/д пути (историческая зона склада готовой продукции на плане ФМ-59415).</w:t>
      </w:r>
    </w:p>
    <w:p>
      <w:r>
        <w:rPr>
          <w:sz w:val="20"/>
        </w:rPr>
        <w:t xml:space="preserve">ЗОНИРОВАНИЕ (по ходу продукта):
1) Зона приёмки у передаточных ворот: конвейер приёмки от КСМ, весы платформенные, позиция разбраковки, сверловочный стенд проб — ≈200–250 м².
2) Зона упаковки/маркировки: контроль увязки, этикетирование — ≈100–150 м².
3) Зона хранения: адресные линии стоп 1,0×1,0 м, продольные линии по 2 пакета в глубину с зазорами 100 мм; рабочие проезды штабелёров 3,5–4,0 м (фронтальный погрузчик-штабелёр г/п 3,2–5 т с пакетом 1×1 м); магистральный проезд 4,5–6 м; ≈1600 м² на 1200 пакетов в 2 яруса. В пролёте 24 м рационально: два блока линий по ~9 м глубиной + два проезда по 3,5–4 м — длина зоны хранения ≈70–90 м по шагам колонн.
4) Ж/д фронт: внутренний путь (существующий габарит проёма проверить по ГОСТ 9238-2013), фронт на 4–6 вагонов (60–90 м), мостовой кран с траверсой (вариант при полувагонах) — либо рампа для крытых вагонов; вагонные весы на пути (демаркированная весовая зона, спецфундамент по Прил. №5).
5) Автофронт: 2 поста у ворот автоотгрузки, автомобильные весы на подъезде (вне здания или в тамбуре), пандусы и отбойники защиты весов (Прил. №5).
6) Инфраструктура: зарядная комната штабелёров (Li-ion, зарядка 2–3 постов), помещение операторов/серверное АСУ-АИС, санузел/бытовые — по СП 44.13330 (уточнить состав).</w:t>
      </w:r>
    </w:p>
    <w:p>
      <w:r>
        <w:rPr>
          <w:sz w:val="20"/>
        </w:rPr>
        <w:t xml:space="preserve">ПОТОКИ: однонаправленное движение приёмка → хранение → отгрузка без пересечения встречных потоков штабелёров; пешеходные проходы отделены разметкой и ограждением (автоматическая работа техники — контроль доступа в зону, световая/звуковая сигнализация, сканеры безопасности штабелёров).</w:t>
      </w:r>
    </w:p>
    <w:p>
      <w:r>
        <w:rPr>
          <w:sz w:val="20"/>
        </w:rPr>
        <w:t xml:space="preserve">ВЫСОТЫ: стопы 2 яруса ≈1,0 м — ограничений по высоте зала нет (парапет ЦЭМ ≈ +17,8); мачта штабелёра при 2-ярусном штабелировании — до 3 м, габарит проёмов ворот ≥ 3,5 м (проверить существующие ворота, при необходимости — расширение проёмов). Отметки чистого пола, уклоны и ровность — по СП 29.13330 (классы ровности под автоматическую технику — уточнить по требованиям поставщика штабелёров).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ЦЭМ: пролёты 24 м (крановые 22 м), шаг 6 м, длина ≈180 м; сетка компоновки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№6; ТЗ п. 6.4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≈1600 м² (1200 пакетов, 2 яруса); проезды 3,5–4 м; блоки линий по ~9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Общая площадь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≈2500–3000 м² с зонами приёмки, упаковки, фронтов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вагонов (60–90 м); габарит проёма — по ГОСТ 9238-2013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9238-2013 — Габариты приближения строений — проём ж/д ворот и внутренний путь; СП 37.13330 (актуальная редакция) — Промышленный транспорт — внутренние ж/д пути и фронты погрузки; СП 29.13330.2011 — Полы — ровность и износостойкость под автоматические штабелёры; СП 57.13330.2011 — Складские здания; 123-ФЗ и СП 12.13130 — Категорирование помещений по пожарной опасности (медь негорюча — ожидаемо категория Д, подтвердить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зоны СГП в ЦЭМ (состояние пути, ворот, пола, колонн) — первый этап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Наличие/модернизация мостового крана в пролёте СГП для полувагонов — по роду подвижного состава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ровности пола под выбранную модель штабелёра — по ТКП</w:t>
      </w:r>
    </w:p>
    <w:p>
      <w:pPr>
        <w:pStyle w:val="Heading2"/>
      </w:pPr>
      <w:r>
        <w:rPr>
          <w:b/>
          <w:sz w:val="26"/>
        </w:rPr>
        <w:t xml:space="preserve">Нагрузки на полы и строительные конструкции</w:t>
      </w:r>
    </w:p>
    <w:p>
      <w:r>
        <w:rPr>
          <w:sz w:val="20"/>
        </w:rPr>
        <w:t xml:space="preserve">РАСПРЕДЕЛЁННАЯ НАГРУЗКА ОТ СТОП. Пакет 2500 кг на пятне 1,0 × 1,0 м: p₁ = m·g/A = 2500 × 9,81 / 1,0 = 24,5 кПа. Стопа 2 яруса: p₂ = 2 × 24,5 = 49,1 кПа (≈5,0 тс/м²); 3 яруса: 73,6 кПа. Нормативная полезная нагрузка зоны хранения принимается по фактической схеме складирования (СП 20.13330.2016): для 2 ярусов — 50 кПа нормативная, расчётная с γf = 1,2 → 58,9 кПа; для 3 ярусов — 73,6/88,3 кПа. Локальные давления под опорными рёбрами профилированных листов выше средних — проверяются по фактической опорной площади (данные КСМ, интерфейс Лот №3).</w:t>
      </w:r>
    </w:p>
    <w:p>
      <w:r>
        <w:rPr>
          <w:sz w:val="20"/>
        </w:rPr>
        <w:t xml:space="preserve">НАГРУЗКИ ОТ ШТАБЕЛЁРА. Фронтальный погрузчик-штабелёр г/п 5 т с пакетом: полная масса ориентировочно 8–11 т, до 80 % на переднюю ось при поднятом грузе → колесо ≈ 3,5–4,5 тс на малом пятне контакта (суперэластик) — расчёт плиты пола на сосредоточенную нагрузку по СП 29.13330 определяет армирование/толщину наравне со штабельной нагрузкой; точные осевые нагрузки — по ТКП выбранной модели.</w:t>
      </w:r>
    </w:p>
    <w:p>
      <w:r>
        <w:rPr>
          <w:sz w:val="20"/>
        </w:rPr>
        <w:t xml:space="preserve">КОНСТРУКЦИЯ ПОЛА: существующий пол ЦЭМ подлежит обследованию; при дефиците несущей способности — устройство новой монолитной ж/б плиты по грунту с упрочнённым верхним слоем (топпинг), швы под колею штабелёров, ровность по классу требований поставщика техники. Разметка адресных линий — износостойкая, машиночитаемая (контрастные полосы/метки для систем позиционирования).</w:t>
      </w:r>
    </w:p>
    <w:p>
      <w:r>
        <w:rPr>
          <w:sz w:val="20"/>
        </w:rPr>
        <w:t xml:space="preserve">ВЕСОВЫЕ ЗОНЫ: фундаменты платформенных, вагонных и автомобильных весов — специальные, демаркированные, с защитой от наездов, пандусами и ограждением (Прил. №5: «выполняются специальные работы по фундаментам, защитным ограждениям, пандусам»). Вагонные весы — собственный фундамент на пути, изолированный от плиты пола.</w:t>
      </w:r>
    </w:p>
    <w:p>
      <w:r>
        <w:rPr>
          <w:sz w:val="20"/>
        </w:rPr>
        <w:t xml:space="preserve">ПРОЧЕЕ: нагрузки от кранового варианта ж/д погрузки — проверка существующих подкрановых путей ЦЭМ (кран с траверсой, грузоподъёмность ≥ 3,2 т с учётом траверсы — фактическая Q крана по обследованию); климатические нагрузки на существующее здание не меняются; новые наружные элементы (навес автофронта) — снег V района 3,2 кПа, ветер II района 0,30 кПа, сейсмика 6 баллов.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от стоп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24,5 кПа/ярус; 2 яруса — 49,1 кПа (расч. 58,9); 3 яруса — 73,6 кПа (расч. 88,3)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СП 20.13330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(уточнить по ТКП)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Обследование существующего; при дефиците — новая плита по грунту с топпингом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Весовые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Отдельные фундаменты, демаркация, защита от наездов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полезные нагрузки складирования, коэффициенты надёжности; СП 29.13330.2011 — Полы — расчёт на сосредоточенные и распределённые нагрузки, ровность; СП 63.13330 (актуальная редакция) — Бетонные и железобетонные конструкции — новая плита пола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ЦЭМ — обследование (первый этап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КСМ</w:t>
      </w:r>
    </w:p>
    <w:p>
      <w:pPr>
        <w:pStyle w:val="Heading2"/>
      </w:pPr>
      <w:r>
        <w:rPr>
          <w:b/>
          <w:sz w:val="26"/>
        </w:rPr>
        <w:t xml:space="preserve">АСУ склада: адресное хранение, партии, роботизированные операции</w:t>
      </w:r>
    </w:p>
    <w:p>
      <w:r>
        <w:rPr>
          <w:sz w:val="20"/>
        </w:rPr>
        <w:t xml:space="preserve">По ТЗ п. 6.4 АСУ СГП управляет роботами, набором партий, разбраковкой, автоматическим взвешиванием, отбором части катодов на сверловку; в программе заложен алгоритм размещения стоп катодов по территории склада автопогрузчиками-штабелёрами по размеченным линиям с памятью «что и где стоит» для последующей отгрузки потребителю.</w:t>
      </w:r>
    </w:p>
    <w:p>
      <w:r>
        <w:rPr>
          <w:sz w:val="20"/>
        </w:rPr>
        <w:t xml:space="preserve">АЛГОРИТМ АДРЕСНОГО ХРАНЕНИЯ (ядро ППО):
— Модель склада: адрес = линия (ряд) × позиция × ярус; статусы позиции (свободна/занята/зарезервирована/блокирована); атрибуты пакета (№, масса, партия, плавка, дата, статус анализа, тип отгрузки).
— Назначение адреса: правило партийной консолидации (пакеты одной партии — смежные линии), FIFO внутри направления отгрузки, минимизация пробега штабелёра, резервирование буфера у фронтов под готовые партии; перестановки (рекомпоновка) — в окна низкой загрузки.
— Память состояния: транзакционная БД со 100 % журналированием перемещений; восстановление карты склада после сбоя без инвентаризации (требование устойчивости ПО — Прил. №5); контрольная инвентаризация сканированием.
— Диспетчеризация штабелёров: задания на терминалы (Wi-Fi IEEE 802.11), подтверждение сканированием этикетки на взятии/постановке; контроль позиционирования по размеченным линиям (машиночитаемая разметка/метки; технология навигации — лазерная/контурная — по ТКП поставщика системы).
— Набор партии: план отгрузки → резервирование пакетов → маршрут комплектации → контрольное взвешивание → отгрузочная ведомость; блокировка отгрузки партии до подтверждения химанализа (интеграция со сверловкой и ЛИМС/PIMS).
— Разбраковка: пакеты вне допуска массы/повреждённые — отдельная зона, задания на переобработку.</w:t>
      </w:r>
    </w:p>
    <w:p>
      <w:r>
        <w:rPr>
          <w:sz w:val="20"/>
        </w:rPr>
        <w:t xml:space="preserve">ТЕХНИЧЕСКАЯ РЕАЛИЗАЦИЯ (Прил. №5): трёхуровневая структура — датчики и приводы конвейера/весов; ПЛК REGUL RX00 (Прософт-Системы)/АБАК (Инкомсистем); верхний уровень — SCADA AlphaScada (Атомик Софт, Linux) + серверы WMS-приложения с горячим резервированием; сеть Industrial Ethernet TCP/IP; интеграции: ИС КСМ (Лот №3 — приём атрибутов пакета, график выгрузки), АИС весоизмерения (см. отдельный раздел), ХТД PIMS, СКУД (идентификация персонала), корпоративные ИС — стандартизированным методом. ИБП ≥10 мин с байпасом и SNMP; шкафы IP65 вне технологических зон; запас каналов ≥30 %; ППО — исходные коды с исключительными правами Заказчика; ЗИП на 2 года (≥10 %, ≥1 шт. каждого наименования).</w:t>
      </w:r>
    </w:p>
    <w:p>
      <w:r>
        <w:rPr>
          <w:sz w:val="20"/>
        </w:rPr>
        <w:t xml:space="preserve">БЕЗОПАСНОСТЬ АВТОМАТИЧЕСКОЙ ЗОНЫ: контроль периметра (ограждение, калитки с блокировкой в СКУД), сканеры безопасности на штабелёрах, аварийные остановы по зонам, ПГС-оповещение (по требованиям Прил. №5 к системам ПГС).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6.4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Платформа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RX00/АБАК + AlphaScada (Linux) + WMS-ППО;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Интеграции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 КСМ (Лот №3), АИС весоизмерения, ХТД PIMS, СКУД, единая диспетчерская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п. 2.10,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коды, исключительные права, бессрочные лицензии, методика восстановления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автоматизации; М ГК НН IT.1.8-2025; СТО 51246464-016-2015 — Корпоративные методики документирования АСУ (по Прил. №5); ГОСТ 12.2.007.0-75 — Электробезопасность электротехнических изделий (зарядная, техника)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Технология позиционирования штабелёров (лазерная навигация/индуктивные метки/RTLS) — по ТКП;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Степень автономности штабелёров (AGV-исполнение против водительского с терминалом) — ТЭО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обмена с ИС КСМ (Лот №3) — межлотовый интерфейсный протокол</w:t>
      </w:r>
    </w:p>
    <w:p>
      <w:pPr>
        <w:pStyle w:val="Heading2"/>
      </w:pPr>
      <w:r>
        <w:rPr>
          <w:b/>
          <w:sz w:val="26"/>
        </w:rPr>
        <w:t xml:space="preserve">АИС весоизмерения (по Приложению №5)</w:t>
      </w:r>
    </w:p>
    <w:p>
      <w:r>
        <w:rPr>
          <w:sz w:val="20"/>
        </w:rPr>
        <w:t xml:space="preserve">Автоматизированная информационная система весоизмерения СГП строится по разделу «Требования к автоматизированным системам весоизмерения материалов и/или транспорта» Приложения №5.</w:t>
      </w:r>
    </w:p>
    <w:p>
      <w:r>
        <w:rPr>
          <w:sz w:val="20"/>
        </w:rPr>
        <w:t xml:space="preserve">ТОЧКИ ВЗВЕШИВАНИЯ: (1) платформенные конвейерные весы приёмки — каждый пакет (НПВ 3 т, допусковый контроль 2500 ± 50 кг); (2) контрольные весы комплектации партии; (3) вагонные весы на внутреннем пути (статические либо для взвешивания в движении — тип по схеме учёта); (4) автомобильные весы на выезде. Всё весовое оборудование — класса точности «высокий», с открытыми программными компонентами для автоматической передачи данных; в поставке — калибровочные (поверочные) грузы соответствующего класса и ЗИП на 2 года.</w:t>
      </w:r>
    </w:p>
    <w:p>
      <w:r>
        <w:rPr>
          <w:sz w:val="20"/>
        </w:rPr>
        <w:t xml:space="preserve">ФУНКЦИИ АИС: идентификация оператора в каждой точке взвешивания по личному пропуску (СКУД; резерв — учётная запись); получение из систем КГМК информации для учёта; печать результатов (маркировка объекта и сопроводительный документ; два типа принтеров — термопринтер типа Zebra и лазерный); «безадресные» взвешивания по QR-коду с сохранением в центральной БД; передача «безадресных» результатов по REST (форматы сообщений уточняются на этапе реализации); получение результатов с весовых терминалов, дополнение атрибутами и передача в ХТД PIMS; работа круглосуточно, автономность и накопление данных при потере связи с PIMS.</w:t>
      </w:r>
    </w:p>
    <w:p>
      <w:r>
        <w:rPr>
          <w:sz w:val="20"/>
        </w:rPr>
        <w:t xml:space="preserve">ИНФРАСТРУКТУРА: связь по Industrial Ethernet (IEEE 802.3/802.11, TCP/IP); в каждой точке — преобразование и передача по оптоволокну либо витой паре, резервирование GSM-модулями; каждый шкаф — с точкой доступа Wi-Fi; линии связи до серверов сбора ХТД PIMS — в объёме проекта, точка подключения — активное сетевое оборудование в помещении серверов PIMS (согласуется с Заказчиком). Электропитание 220 В от АВР с ИБП двойного преобразования ≥20 мин, байпас, SNMP-платы; шкафы IP65 (в техзонах) / IP55 (в помещениях), на цоколе, вандалозащищённые; срок службы ≥10 лет.</w:t>
      </w:r>
    </w:p>
    <w:p>
      <w:r>
        <w:rPr>
          <w:sz w:val="20"/>
        </w:rPr>
        <w:t xml:space="preserve">МЕТРОЛОГИЯ: соответствие ФЗ-102 «Об обеспечении единства измерений», ГОСТ Р 8.596-2002, ГОСТ 8.417-2024; все СИ — из Госреестра СИ РФ, с паспортами, методиками поверки и первичной поверкой (непроверенные СИ в поставку не допускаются); коммерческий учёт отгрузки — в сфере государственного регулирования ОЕИ. Установочные чертежи — на каждое СИ.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Точки взвешивания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Пакетные весы приёмки (НПВ 3 т), контрольные,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Идентификация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Личный пропуск через СКУД; резерв — логин/пароль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 данных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REST («безадресные» по QR), весовые терминалы → атрибуты → ХТД PIMS; автономность при потере связи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Питание/исполнение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АВР + ИБП ≥20 мин, SNMP, шкафы IP65/IP55 на цоколе, Wi-Fi точка в каждом шкафу,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Поверочные грузы и ЗИП на 2 года —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Обеспечение единства измерений; коммерческий учёт — сфера госрегулирования; ГОСТ Р 8.596-2002 — Метрологическое обеспечение измерительных систем; ГОСТ 8.417-2024 — Единицы величин; ГОСТ OIML R 76-1-2011 — Весы неавтоматического действия — класс точности «высокий» (II) для платформенных весов; ГОСТ Р 53228-2008 — Весы неавтоматического действия — метрологические и технические требования; Стандарт на весы для взвешивания транспорта в движении — Для вагонных весов в движении — уточнить номер действующего ГОСТ (взамен ГОСТ 30414-96)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вагонных весов (статика/в движении) и НПВ — по схеме учёта и заданию сбыта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REST-сообщений и атрибутика PIMS — на этапе реализации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конкретных моделей весов и терминалов — согласование с Заказчиком (унификация с площадкой)</w:t>
      </w:r>
    </w:p>
    <w:p>
      <w:pPr>
        <w:pStyle w:val="Heading2"/>
      </w:pPr>
      <w:r>
        <w:rPr>
          <w:b/>
          <w:sz w:val="26"/>
        </w:rPr>
        <w:t xml:space="preserve">Требования к упаковке и маркировке под морскую транспортировку</w:t>
      </w:r>
    </w:p>
    <w:p>
      <w:r>
        <w:rPr>
          <w:sz w:val="20"/>
        </w:rPr>
        <w:t xml:space="preserve">Требования сформированы ИД п. 1.3.11 (требование сбытового блока) и увязаны с конструкцией пакета КСМ:</w:t>
      </w:r>
    </w:p>
    <w:p>
      <w:r>
        <w:rPr>
          <w:sz w:val="20"/>
        </w:rPr>
        <w:t xml:space="preserve">1) Увязка: три металлические ленты из материала, устойчивого к коррозии в условиях длительной морской транспортировки и хранения под открытым небом (нержавеющая лента или лента с эквивалентной стойкостью; углеродистая оцинкованная — не допускается как теряющая товарный вид при морской перевозке); замки лент — того же класса стойкости.</w:t>
      </w:r>
    </w:p>
    <w:p>
      <w:r>
        <w:rPr>
          <w:sz w:val="20"/>
        </w:rPr>
        <w:t xml:space="preserve">2) Исключение сертифицируемых материалов: хранение и транспортировка должны исключать материалы, требующие особой сертификации или утилизации — деревянные бруски исключены (фитосанитарная обработка по международным нормам не требуется, т.к. дерево не применяется); опора стоп — профилируемые в пределах КСМ катодные листы.</w:t>
      </w:r>
    </w:p>
    <w:p>
      <w:r>
        <w:rPr>
          <w:sz w:val="20"/>
        </w:rPr>
        <w:t xml:space="preserve">3) Маркировка: на каждый пакет — две этикетки (боковые), содержание: производитель, марка М00к (Cu-CATH-1), № пакета, № партии/плавки, масса нетто/брутто, дата, штрих/QR-код для АИС; манипуляционные знаки и надписи — по ГОСТ 14192-96; требования регистрации бренда на ЛБМ (форма клейма/маркировки листов) — по контракту сбыта. Печать этикеток — стойкими к УФ и морской атмосфере материалами (термотрансфер).</w:t>
      </w:r>
    </w:p>
    <w:p>
      <w:r>
        <w:rPr>
          <w:sz w:val="20"/>
        </w:rPr>
        <w:t xml:space="preserve">4) Защитная упаковка: базово пакеты не укрываются (катодная медь допускает открытое хранение); по требованию контракта — обвязка партии, угловые протекторы под ленты (полимер, не требующий сертификации), исключающие перетирание кромок листов; плёночная упаковка — только по заданию сбыта (утилизируемые материалы согласовать).</w:t>
      </w:r>
    </w:p>
    <w:p>
      <w:r>
        <w:rPr>
          <w:sz w:val="20"/>
        </w:rPr>
        <w:t xml:space="preserve">5) Совместимость с логистикой: конфигурация «перфорации» (профилирования) нижних листов обеспечивает работу вилочных захватов и крановых траверс на всей цепочке (СГП → вагон → порт → судно) — интерфейсный документ с поставщиком КСМ (Лот №3) обязателен в составе БИ; допустимая высота штабелирования пакетов при перевозке и в порту — подтвердить прочностью нижнего пакета (испытания при освоении).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Увязка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коррозионностойкие металлические ленты + стойкие замки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Без дерева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Опора — профилированные катодные листы; материалы особой сертификации/утилизации исключены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Маркировка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Этикетки с QR (2 шт./пакет), знаки по ГОСТ 14192-96, данные партии и массы из АИС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Длительная морская транспортировка и хранение под открытым небом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 — манипуляционные знаки, транспортная маркировка; ГОСТ 21650-76 — Средства скрепления тарно-штучных грузов в транспортных пакетах — применимость к лентам увязки (проверить актуальность); ГОСТ 24597-81 — Пакеты тарно-штучных грузов — основные параметры (справочно для габаритов пакета)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 ленты (марка стали, сечение, усилие натяжения) — по ТКП поставщика КСМ/обвязочного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конкретного контракта сбыта (клеймение листов, форма этикетки ЛБМ) — от сбытового блока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Для Лота №4 по ТЗ выполняется PFD с указанием границ проектирования (схемы P&amp;ID для СГП ТЗ не требует). Состав PFD:</w:t>
      </w:r>
    </w:p>
    <w:p>
      <w:r>
        <w:rPr>
          <w:sz w:val="20"/>
        </w:rPr>
        <w:t xml:space="preserve">ПОТОК ПРОДУКЦИИ: выходной конвейер КСМ → передаточные ворота (граница) → конвейер приёмки → весы поштучного взвешивания (класс «высокий») → позиция разбраковки/сверловки проб → узел контроля увязки и маркировки → позиция выдачи на штабелёр → зона адресного хранения (1200 пакетов, 2 яруса) → комплектация партии → фронт ж/д (кран-траверса или штабелёр; вагонные весы) / фронт авто (штабелёр; автомобильные весы) → ворота отгрузки (граница).</w:t>
      </w:r>
    </w:p>
    <w:p>
      <w:r>
        <w:rPr>
          <w:sz w:val="20"/>
        </w:rPr>
        <w:t xml:space="preserve">ИНФОРМАЦИОННЫЕ ПОТОКИ (наносятся на PFD пунктиром): ИС КСМ → АСУ СГП (атрибуты пакета); АСУ СГП ↔ АИС весоизмерения ↔ ХТД PIMS; АСУ СГП → единая диспетчерская; СКУД → АИС (идентификация).</w:t>
      </w:r>
    </w:p>
    <w:p>
      <w:r>
        <w:rPr>
          <w:sz w:val="20"/>
        </w:rPr>
        <w:t xml:space="preserve">ЭНЕРГОПОТОКИ: электроэнергия 0,4 кВ (конвейер, весы, зарядная станция штабелёров, маркировка), сжатый воздух (обвязка/маркировка — при необходимости по выбранному оборудованию), без технологического пара и воды.</w:t>
      </w:r>
    </w:p>
    <w:p>
      <w:r>
        <w:rPr>
          <w:sz w:val="20"/>
        </w:rPr>
        <w:t xml:space="preserve">На схеме указываются: производительности (3,5–7 пакетов/ч приёмка; 84 пакета/сут отгрузка), ёмкость хранения (1200 пакетов / 3000 т), режимы (приёмка 358 сут, отгрузка по графику подачи).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(вход); ворота ж/д и авто отгрузки (выход)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6.2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по ТЗ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6.4</w:t>
            </w:r>
          </w:p>
        </w:tc>
      </w:tr>
    </w:tbl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</w:t>
      </w:r>
    </w:p>
    <w:p>
      <w:r>
        <w:rPr>
          <w:sz w:val="20"/>
        </w:rPr>
        <w:t xml:space="preserve">Состав по ТЗ п. 6.3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
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
3) Стенд сверловки проб катодов с автоматизированным отбором (по заданию АСУ) и возвратом листов.
4) Оборудование защитной упаковки и маркировки: узел контроля/дотяжки увязки (3 ленты), аппликатор/принтеры этикеток (термо Zebra + лазерный).
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
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
7) Оборудование автоотгрузки: пост погрузки, направляющие/отбойники, автомобильные весы на выезде.
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
9) Ограждение автоматической зоны, калитки СКУД, светозвуковая сигнализация.</w:t>
      </w:r>
    </w:p>
    <w:p>
      <w:r>
        <w:rPr>
          <w:sz w:val="20"/>
        </w:rPr>
        <w:t xml:space="preserve">Опросные листы — на весовое оборудование, штабелёры/систему позиционирования, кран-траверсу, конвейер, сверловочный стенд, упаковочно-маркировочное оборудование. Требования к монтажу: самые тяжёлые единицы — мостовой кран (при новом исполнении) и вагонные весы; монтаж в действующем здании с сохранением работы смежных пролётов ЦЭМ.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погрузка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позиций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Мостовой кран и съёмные грузозахватные приспособления (траверса) — проектирование, освидетельствование; ТР ТС 010/2011 — Безопасность машин и оборудования — штабелёры, конвейеры; ГОСТ 12.3.020-80 — Процессы перемещения грузов на предприятиях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 и энергоресурсов; подключения</w:t>
      </w:r>
    </w:p>
    <w:p>
      <w:r>
        <w:rPr>
          <w:sz w:val="20"/>
        </w:rPr>
        <w:t xml:space="preserve">Технологические среды: пар и производственная вода для СГП не требуются; водоснабжение — только хозбытовое (бытовые помещения персонала контроля), водоотведение — бытовое.</w:t>
      </w:r>
    </w:p>
    <w:p>
      <w:r>
        <w:rPr>
          <w:sz w:val="20"/>
        </w:rPr>
        <w:t xml:space="preserve">ЭЛЕКТРОЭНЕРГИЯ (0,4 кВ, сведения по Приложению №3): потребители — конвейер приёмки, весовое оборудование, упаковка/маркировка, зарядная станция штабелёров (2–3 поста × 10–20 кВт), АСУ/АИС/СПТ с ИБП, освещение зоны (норма освещённости складской зоны с автоматической техникой и весовых — по СП 52.13330), электрообогрев весовых приямков. Установленная мощность — оценочно 100–200 кВт, уточняется по ТКП; категория надёжности: АСУ/АИС — I (ИБП), прочее — II/III по Прил. №3. Однолинейные схемы, спецификации электрооборудования и ОЛ — в составе БИ (объём по согласованным границам).</w:t>
      </w:r>
    </w:p>
    <w:p>
      <w:r>
        <w:rPr>
          <w:sz w:val="20"/>
        </w:rPr>
        <w:t xml:space="preserve">СЖАТЫЙ ВОЗДУХ: только при пневмоинструменте обвязки/аппликаторах — локальный компрессор в комплекте оборудования (магистральный воздух не заводится; уточняется комплектацией).</w:t>
      </w:r>
    </w:p>
    <w:p>
      <w:r>
        <w:rPr>
          <w:sz w:val="20"/>
        </w:rPr>
        <w:t xml:space="preserve">МИКРОКЛИМАТ: катодная медь допускает открытое хранение, однако для стабильной работы весов (температурный дрейф), АКБ штабелёров и персонала зона СГП — отапливаемая до +5…+10 °C (дежурное отопление); весовые и операторские помещения — +18 °C. Вентиляция — общеобменная; выбросов и вредностей технологический процесс не создаёт (категория помещений по пожарной опасности — ожидаемо Д, подтверждается расчётом).</w:t>
      </w:r>
    </w:p>
    <w:p>
      <w:r>
        <w:rPr>
          <w:sz w:val="20"/>
        </w:rPr>
        <w:t xml:space="preserve">РАСХОДНЫЕ МАТЕРИАЛЫ: лента увязочная коррозионностойкая (дотяжка/замена — норматив по факту освоения), этикетки и риббоны, зарядная инфраструктура АКБ. Нормы расхода упаковочных материалов ИД (табл. 8.5 — «материалы на упаковку по действовавшему аналогу») пересматриваются под новую конфигурацию пакета — определяется поставщиком КСМ (ИД п. 1.3.11).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100–200 кВт установленной; зарядная 2–3 × 10–20 кВт; АСУ/АИС — I категория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№3,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 не требуются; хозбытовые — минимально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Микроклимат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Дежурное отопление +5…+10 °C; весовые/операторские +18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Сведения по электрооборудованию, однолинейные схемы, ОЛ; СП 52.13330 (актуальная редакция) — Естественное и искусственное освещение — нормы для зон автоматической техники и весовых; ПУЭ (изд. 7) — Электроустановки зарядной станции АКБ (выделение водорода при заряде — вентиляция зарядной)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электроэнергии — при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установленная мощность — по спецификации после ТКП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№4 (порядок формирования)</w:t>
      </w:r>
    </w:p>
    <w:p>
      <w:r>
        <w:rPr>
          <w:sz w:val="20"/>
        </w:rPr>
        <w:t xml:space="preserve">В составе БИ приводится: (1) стоимость оборудования по данным ТКП потенциальных поставщиков — не менее 2–3 на каждую позицию (весовое оборудование, штабелёры с системой позиционирования, конвейер приёмки, кран-траверса, упаковка/маркировка, АСУ/АИС); (2) оценка общей стоимости комплектной поставки технологического оборудования в границах п. 6.2 ТЗ.</w:t>
      </w:r>
    </w:p>
    <w:p>
      <w:r>
        <w:rPr>
          <w:sz w:val="20"/>
        </w:rPr>
        <w:t xml:space="preserve">Рекомендуемая пакетность запросов: пакет «интралогистика» (штабелёры + навигация + WMS-ППО) — у одного интегратора с ответственностью за сквозной алгоритм адресного хранения; пакет «весовое хозяйство + АИС» — у поставщика, унифицированного с площадкой КГМК (требование Прил. №5 об унификации и согласовании выбора); пакет «ж/д погрузка» (кран/траверса/вагонные весы). В ТКП включить гарантии производительности (7 пакетов/ч приёмка, 84 пакета/сут отгрузка), точности учёта (класс «высокий») и доступности системы (KPI автоматического режима).</w:t>
      </w:r>
    </w:p>
    <w:p>
      <w:r>
        <w:rPr>
          <w:sz w:val="20"/>
        </w:rPr>
        <w:t xml:space="preserve">Стоимостные данные не приводятся до получения ТКП.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≥2–3 ТКП на позицию; оценка комплектной поставки в границах п. 6.2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раздел «Стоимость поставки по Лоту №4»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объёмов «оборудование Лота №4» / «строительная часть» (полы, ворота, пути) — согласовать с Заказчиком: строительная часть в стоимость лота по ТЗ не входит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поставщиков интралогистики РФ с опытом металлургических складов — проработка на этапе запросов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