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Планы строительных конструкций и фундаментов с предварительными нагрузками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предварительных нагрузок, включая динамические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ОВЭ75-БИ-Л1-НГ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D-15, D-16.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№1 «Цех обжига»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Здание цеха обжига — новое строительство. Каркас здания — стальной рамно-связевой, колонны по сетке 6/12 м, покрытие по фермам, ограждение из сэндвич-панелей. Внутренние этажерки бункерного хозяйства и газоочистки выполняются самостоятельными стальными каркасами, конструктивно отделёнными от каркаса здания: этим исключается передача технологических вибраций и температурных деформаций на несущие конструкции здания. Тип фундаментов — монолитные железобетонные на естественном основании; грунтовые условия площадки благоприятные, особые условия (мерзлота, просадочность, карст) не выявлены, тип основания уточняется инженерно-геологическими изысканиями пятна застройки.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оборудования, табл. 25 — незавершённое производство); ТЗ на БИ ред. 4.1 (п. 2.9 — условия площадки, п. 3.5 — сетка колонн);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воздействия: сочетания, снеговые мешки, крановые нагрузки (разд. 9)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16.13330.2017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Стальные конструкции — расчёт каркасов, этажерок, опор газоходов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63.13330.2018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Железобетонные конструкции — фундаменты, подпорные элементы, перекрытия на 0,000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43.13330.2012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Бункеры и силосы: давление сыпучего на стенки (с учётом сводообразования и обрушения), опорные узлы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14.13330.2018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Проверка при сейсмичности 6 баллов (справочно; спецмероприятия как правило не требуются)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27751-2014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Надёжность строительных конструкций — класс сооружения КС-2/КС-3 (уточняется для этажерки печи)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26.13330.2012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Фундаменты машин с динамическими нагрузками — дымососы, воздуходувка; допускаемые амплитуды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22.13330.2016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Основания зданий и сооружений — несущая способность и осадки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24379.1-2012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Болты фундаментные — анкеровка оборудования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ИСО 21940-11-2019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Балансировка роторов — назначение класса G для дымососов/воздуходувки (номер применяемой части уточняется)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Вибрационная безопасность — уровни на рабочих местах у дымососов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Здание новое: снеговая и ветровая нагрузки учитываются в полном объёме для каркаса, покрытия и ограждающих конструкций. На перепадах высот блоков учитываются снеговые мешки по СП 20.13330 — коэффициент μ до 2–3 в зонах примыкания этажерки к пролёту печи. Сейсмическое воздействие 6 баллов проверяется справочно: специальные мероприятия при такой интенсивности, как правило, не требуются. Температурные воздействия: локальный нагрев конструкций у печи и газоходов (тракт до 400–920 °C) — тепловые экраны и вентилируемые зазоры; расчётный температурный перепад для этажерки печи ±40 °C.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Фильтрация концентрата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Барабанные вакуум-фильтры для пульпы медного концентрата</w:t>
            </w:r>
          </w:p>
          <w:p>
            <w:r>
              <w:rPr>
                <w:color w:val="666666"/>
                <w:sz w:val="13"/>
              </w:rPr>
              <w:t xml:space="preserve">кол-во: Уточняется в БИ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Отделение фильтрации, перекрытие +6,0 (предварительно)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 п. 3.4;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перекрытия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резервируется зона под два аппарата 2 × 32 м²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 под этажеркой фильтрации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фильтратом</w:t>
            </w:r>
          </w:p>
          <w:p>
            <w:r>
              <w:rPr>
                <w:color w:val="666666"/>
                <w:sz w:val="13"/>
              </w:rPr>
              <w:t xml:space="preserve">Источник: ТЗ п. 3.4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Ёмкость — на плите пола в поддоне; насосы — на рамах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Насосы на виброизолированных рамах; нагрузки малые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Шихтоподготовка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Приёмный бункер концентрата, 60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этажерка; загрузка сверху конвейерами (верх +14…16)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132,6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132,6 т материала и собственный вес; давление сыпучего по СП 43.13330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Бункер оборотного огарка, 50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 шихтовки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149,3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149,3 т материала и собственный вес (см. примечание 1)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Бункер кека, 20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 шихтовки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27,0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27,0 т материала и собственный вес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Бункер цементной меди, 10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этажерка, зона кислотозащиты полов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30,0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30,0 т материала и собственный вес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  <w:p>
            <w:r>
              <w:rPr>
                <w:color w:val="666666"/>
                <w:sz w:val="13"/>
              </w:rPr>
              <w:t xml:space="preserve">Цилиндрические;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Опорный каркас у печи; загрузка наклонным конвейером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125,0 материала на два бункера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каркаса, отделённого от каркаса здания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125,0 т материала и собственный вес двух бункеров 2 × 60 м³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  <w:p>
            <w:r>
              <w:rPr>
                <w:color w:val="666666"/>
                <w:sz w:val="13"/>
              </w:rPr>
              <w:t xml:space="preserve">УКВ-320-Ц-60 / УКВ-200-Ц-60 / УКВ-200-Ц-37,5 / УКВ-320-Ц-95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шихтовки, верх конвейеров +14…16; наклонный конвейер у печи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материалом на ленте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става на балки этажерки; станции на закладных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става и материала; погонная нагрузка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  <w:p>
            <w:r>
              <w:rPr>
                <w:color w:val="666666"/>
                <w:sz w:val="13"/>
              </w:rPr>
              <w:t xml:space="preserve">кол-во: Уточняется на стадии ОТР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пост разгрузки цементной меди у ворот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става на закладные плиты пола; полы кислотоупорные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става и материала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Подача шихты — этажерка; пылевые шнеки под конусами бункеров, +4…5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материалом в жёлобе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корыта на балки этажерки и рамы холодильников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корыта, шнека и материала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  <w:p>
            <w:r>
              <w:rPr>
                <w:color w:val="666666"/>
                <w:sz w:val="13"/>
              </w:rPr>
              <w:t xml:space="preserve">кол-во: Уточняется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приёмки цементной меди,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корыта на закладные плиты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  <w:p>
            <w:r>
              <w:rPr>
                <w:color w:val="666666"/>
                <w:sz w:val="13"/>
              </w:rPr>
              <w:t xml:space="preserve">ZC-300 / ZC-800 / ZC-1200 / ZC-1500; кол-во: 2×ZC-300, 1×ZC-800, 1×ZC-1200, 2×ZC-1500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 конусами приёмных бункеров, +7…8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балках этажерки под конусом бункера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передаётся на этажерку вместе с нагрузкой бункера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Дозатор ленточный</w:t>
            </w:r>
          </w:p>
          <w:p>
            <w:r>
              <w:rPr>
                <w:color w:val="666666"/>
                <w:sz w:val="13"/>
              </w:rPr>
              <w:t xml:space="preserve">4488 ДН-У-1-X-40-1800-0-0.X (X = 3,2; 4; 5; 16; 25); кол-во: по 1 шт. на X=3,2; 4; 5; 16 и 2 шт. на X=25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 питателями, +7…8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балках этажерки; тензометрические опоры требуют жёсткого основания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погонная нагрузка ленты 40 кг/м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(предварительно); узел развязывается по вибрации от соседних машин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смеситель</w:t>
            </w:r>
          </w:p>
          <w:p>
            <w:r>
              <w:rPr>
                <w:color w:val="666666"/>
                <w:sz w:val="13"/>
              </w:rPr>
              <w:t xml:space="preserve">СШ-25;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+5,0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≈8 с заполнением (рабочий объём 3,8 м³)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смесителя на балках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≈8 т материала и собственный вес корпуса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Обжиг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Печь кипящего слоя (КС)</w:t>
            </w:r>
          </w:p>
          <w:p>
            <w:r>
              <w:rPr>
                <w:color w:val="666666"/>
                <w:sz w:val="13"/>
              </w:rPr>
              <w:t xml:space="preserve">Характеристики по ИД ч.1 табл. 23;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Собственный опорный каркас; подина +4,5 (предварительно), свод ≈+13,7; под печью — газовая коробка и донная выгрузка на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200–230 (конструкция и футеровка) — предварительная оценка</w:t>
            </w:r>
          </w:p>
          <w:p>
            <w:r>
              <w:rPr>
                <w:sz w:val="14"/>
              </w:rPr>
              <w:t xml:space="preserve">Рабочая: 340–370 с загрузкой (слой 139 единовременно)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оценка Исполнителя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Опорный каркас на монолитной плите, отделённой от каркаса здания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Постоянная — корпус и футеровка; длительная — слой огарка 139 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Пульсации слоя: 48–53 кПа на 28,27 м², полоса 0,5–5 Гц;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  <w:p>
            <w:r>
              <w:rPr>
                <w:color w:val="666666"/>
                <w:sz w:val="13"/>
              </w:rPr>
              <w:t xml:space="preserve">кол-во: по ТЗ на БИ, п. 3.4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Отдельное шумоизолированное помещение на 0,000 вблизи печи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 (тип машины не выбран)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Массивный блок, отделённый сквозным швом; резервируется 6 × 4 м до 60 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до выбора машины принимается зарезервированная масса блока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3000 об/мин (50 Гц) и выше;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У корпуса печи на отметке забрасывания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Кронштейны на опорном каркасе печи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  <w:p>
            <w:r>
              <w:rPr>
                <w:color w:val="666666"/>
                <w:sz w:val="13"/>
              </w:rPr>
              <w:t xml:space="preserve">ГМ-4,5;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Топка-смеситель дутья у печи,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Опорная рама топки-смесителя на самостоятельном фундаменте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учитываются температурные воздействия от топки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  <w:p>
            <w:r>
              <w:rPr>
                <w:color w:val="666666"/>
                <w:sz w:val="13"/>
              </w:rPr>
              <w:t xml:space="preserve">МГМГ-10; кол-во: 3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Горелочные устройства разогрева на корпусе печи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Кронштейны на корпусе печи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Дроссельный затвор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Напорный тракт дутья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 трубопроводе; нагрузка на опоры тракта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Учитывается в нагрузке на опоры воздуховода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Газоочистка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Котёл-утилизатор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Самостоятельный каркас рядом с печью; барабан +18…20; бункер со шнеком +4…5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завода; барабан ориентировочно 15–25</w:t>
            </w:r>
          </w:p>
          <w:p>
            <w:r>
              <w:rPr>
                <w:sz w:val="14"/>
              </w:rPr>
              <w:t xml:space="preserve">Рабочая: Собственный вес с водой плюс 30,4 пыли в бункере 15 м³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аналоги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и подвески поверхностей нагрева на каркасе котла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котла с водой и 30,4 т пыли в бункере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определяющие — температурные перемещения и усилия компенсаторов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Одиночный циклон</w:t>
            </w:r>
          </w:p>
          <w:p>
            <w:r>
              <w:rPr>
                <w:color w:val="666666"/>
                <w:sz w:val="13"/>
              </w:rPr>
              <w:t xml:space="preserve">СЦН-50-1800×1УП;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газоочистки; высота аппарата 6,1 м, бункер 8,5 м³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1,19</w:t>
            </w:r>
          </w:p>
          <w:p>
            <w:r>
              <w:rPr>
                <w:sz w:val="14"/>
              </w:rPr>
              <w:t xml:space="preserve">Рабочая: 17,4 (1,19 корпус + 16,2 пыли)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17,4 т на узлы опирания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локальные импульсы при обрушении сводов пыли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Сухой электрофильтр</w:t>
            </w:r>
          </w:p>
          <w:p>
            <w:r>
              <w:rPr>
                <w:color w:val="666666"/>
                <w:sz w:val="13"/>
              </w:rPr>
              <w:t xml:space="preserve">УГТ1-20-4;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Собственные опорные рамы, оси кратно 6 м; габарит 18,11 × 4,79 × 18,70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72,6 каждый</w:t>
            </w:r>
          </w:p>
          <w:p>
            <w:r>
              <w:rPr>
                <w:sz w:val="14"/>
              </w:rPr>
              <w:t xml:space="preserve">Рабочая: 89,7 каждый (72,6 корпус + 17,1 пыли)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рамы на самостоятельных фундаментах под каждый корпус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89,7 т на опоры каждого из двух аппаратов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механизмов встряхивания; коэффициент 1,1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Дымосос</w:t>
            </w:r>
          </w:p>
          <w:p>
            <w:r>
              <w:rPr>
                <w:color w:val="666666"/>
                <w:sz w:val="13"/>
              </w:rPr>
              <w:t xml:space="preserve">ДН-15БНЖ;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0,000; индивидуальные фундаменты, отделённые сквозным швом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5,64 агрегат (дымосос 3,32 + двигатель 2,32)</w:t>
            </w:r>
          </w:p>
          <w:p>
            <w:r>
              <w:rPr>
                <w:sz w:val="14"/>
              </w:rPr>
              <w:t xml:space="preserve">Рабочая: 5,64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Массивный блок под общую раму улитки и двигателя; масса блока 45–70 (предварительно)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56,4 кН от агрегата и собственный вес фундаментного блока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1500 об/мин, 25 Гц; главный источник динамики цеха;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Охлаждение продуктов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  <w:p>
            <w:r>
              <w:rPr>
                <w:color w:val="666666"/>
                <w:sz w:val="13"/>
              </w:rPr>
              <w:t xml:space="preserve">D2424-6;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 сливным порогом печи, +5,2…5,5 (уточняется КД печи)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12–18 (предварительная оценка)</w:t>
            </w:r>
          </w:p>
          <w:p>
            <w:r>
              <w:rPr>
                <w:sz w:val="14"/>
              </w:rPr>
              <w:t xml:space="preserve">Рабочая: ≈13 с заполнением, дополнительно вода в рубашке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оценка Исполнителя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Опорная рама на балках этажерки; фундамент с бортиком и трапом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Принимается верхняя граница оценок (см. примечание 5)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  <w:p>
            <w:r>
              <w:rPr>
                <w:color w:val="666666"/>
                <w:sz w:val="13"/>
              </w:rPr>
              <w:t xml:space="preserve">S710-4;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охлаждения рядом с холодильником огарка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материалом и водой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Опорная рама на балках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666666"/>
                <w:sz w:val="13"/>
              </w:rPr>
              <w:t xml:space="preserve">Типа силосной башни;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Силосная башня у автопроезда; низ конуса +4,2, верх ≈+17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221 материала (100 м³ × ≈2,2 т/м³)</w:t>
            </w:r>
          </w:p>
          <w:p>
            <w:r>
              <w:rPr>
                <w:color w:val="666666"/>
                <w:sz w:val="13"/>
              </w:rPr>
              <w:t xml:space="preserve">Источник: ИД ч.1 табл. 25;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Собственный фундамент под опорное кольцо или стойки башни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221 т материала и собственный вес; давление сыпучего по СП 43.13330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Виброразгружатель — локальные импульсы; узлы крепления на усталость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  <w:p>
            <w:r>
              <w:rPr>
                <w:color w:val="666666"/>
                <w:sz w:val="13"/>
              </w:rPr>
              <w:t xml:space="preserve">Типа силосной башни;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Силосная башня рядом с силосом огарка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17,1 материала (10 м³)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Собственный фундамент под опорные стойки башни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17,1 т материала и собственный вес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Виброразгружатель — локальные импульсы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Аспирация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  <w:p>
            <w:r>
              <w:rPr>
                <w:color w:val="666666"/>
                <w:sz w:val="13"/>
              </w:rPr>
              <w:t xml:space="preserve">кол-во: Уточняется в БИ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Отделение аспирации; состав и компоновка уточняются на стадии БИ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пылью в бункере</w:t>
            </w:r>
          </w:p>
          <w:p>
            <w:r>
              <w:rPr>
                <w:color w:val="666666"/>
                <w:sz w:val="13"/>
              </w:rPr>
              <w:t xml:space="preserve">Источник: ТЗ п. 3.4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стойки на самостоятельном фундаменте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регенерации рукавов — коэффициент по данным изготовителя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  <w:p>
            <w:r>
              <w:rPr>
                <w:color w:val="666666"/>
                <w:sz w:val="13"/>
              </w:rPr>
              <w:t xml:space="preserve">кол-во: Уточняется в БИ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индивидуальные фундаменты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 п. 3.4;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Фундаментный блок, отделённый швом от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машина; частота и дисбаланс по ТКП; см. раздел 4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Строка «бункер оборотного огарка 50 м³ — 149,3 т» соответствует насыпной плотности 2,99 т/м³, тогда как для силоса огарка принята плотность 2,21 т/м³. Базис строки запрошен у разработчика исходных данных; до получения ответа в расчёт конструкций принимается большее значение 149,3 т.</w:t>
      </w:r>
    </w:p>
    <w:p>
      <w:r>
        <w:rPr>
          <w:sz w:val="20"/>
        </w:rPr>
        <w:t xml:space="preserve">2. Пылевая нагрузка газоходов (до 50 т на участке «печь — котёл-утилизатор», до 50 т на участке «котёл — циклон», до 10 т на участке «циклон — электрофильтры») учитывается в расчёте опор как длительная: это прямое следствие данных о незавершённом производстве.</w:t>
      </w:r>
    </w:p>
    <w:p>
      <w:r>
        <w:rPr>
          <w:sz w:val="20"/>
        </w:rPr>
        <w:t xml:space="preserve">3. Масса печи с футеровкой 200–230 т — предварительная оценка Исполнителя по геометрии: шамот около 135 т при толщине 350 мм, подина около 30 т, корпус и свод 40–60 т. Значение уточняется конструкторской документацией печи.</w:t>
      </w:r>
    </w:p>
    <w:p>
      <w:r>
        <w:rPr>
          <w:sz w:val="20"/>
        </w:rPr>
        <w:t xml:space="preserve">4. Массы котла-утилизатора и его барабана, воздуходувки, рукавных фильтров вносятся в планы нагрузок итерацией по мере получения конструкторской документации и технических предложений.</w:t>
      </w:r>
    </w:p>
    <w:p>
      <w:r>
        <w:rPr>
          <w:sz w:val="20"/>
        </w:rPr>
        <w:t xml:space="preserve">5. По шнековому холодильнику огарка оценка массы монтажной единицы (12–18 т) и значение реестра нагрузок (около 13 т с заполнением) расходятся; до получения данных изготовителя в расчёт принимается верхняя граница.</w:t>
      </w:r>
    </w:p>
    <w:p>
      <w:r>
        <w:rPr>
          <w:sz w:val="20"/>
        </w:rPr>
        <w:t xml:space="preserve">6. Все узлы опирания оборудования снабжаются планами нагрузок по форме раздела 7: постоянная, длительная от заполнения, кратковременная, динамическая составляющая, момент от эксцентриситетов конусов.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Пылевые отложения в газоходе «печь — котёл-утилизатор» Ø2000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и подвески газохода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До 50 т на участке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Длительная нагрузка на опоры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Пылевые отложения в газоходе «котёл-утилизатор — циклон»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газохода на этажерке газоочистки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До 50 т на участке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Длительная нагрузка на опоры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Пылевые отложения в газоходе «циклон — электрофильтры»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газохода на этажерке газоочистки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До 10 т на участке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Длительная нагрузка на опоры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Собственный вес и температурные усилия газоходов с футеровкой ШЛ-0,4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газоходов Ø2000 и Ø1100, эстакада в сернокислотный цех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Линейная нагрузка по сечению с футеровкой; температура тракта до 400–920 °C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усилия компенсаторов и температурные перемещения; нагрузки эстакады — после трассировки по генплану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23; решение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Крановая нагрузка мостового крана пролёта печи и котла-утилизатора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Подкрановые балки и колонны пролёта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Грузоподъёмность предварительно 20/5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Вертикальные и горизонтальные составляющие по СП 20.13330, разд. 9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Компоновка БИ; СП 20.13330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Крановая нагрузка кран-балок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Пролёт дымососов, отделение фильтрации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Грузоподъёмность 5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Вертикальные и горизонтальные составляющие по СП 20.13330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Компоновка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Полезная нагрузка площадок обслуживания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Перекрытия обслуживания, площадки КИП, проходы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4,0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Нормативная равномерно распределённая нагрузка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Полезная нагрузка ремонтных зон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Зоны раскладки футеровки и ремонтные площадки у печи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10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Учитывается разовая перекладка около 135 т шамота при капитальном ремонте (кампания печи 3 года)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БИ; ИД ч.1 разд. 6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Перекрытия и монтажные проёмы над печью и электрофильтрами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Корпусная секция электрофильтра 15–20 т; барабан котла 15–25 т на отметке +18…20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при проверке перекрытий и назначении проёмов; окончательно — в проекте производства работ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Исполнителя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Материал в бункерах шихтоподготовки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463,9 т суммарно (132,6 + 149,3 + 27,0 + 30,0 + 125,0)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Материал в силосах отгрузки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238,1 т суммарно (221,0 + 17,1)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Пыль в аппаратах газоочистки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80,8 т суммарно (котёл 30,4 + циклон 16,2 + два электрофильтра по 17,1)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Пылевые отложения в газоходах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До 110 т суммарно (50 + 50 + 10)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Печь с загрузкой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340–370 т (конструкция и футеровка 200–230 плюс слой 139)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и оценке Исполнителя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Наибольшая нагрузка от единицы оборудования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89,7 т на опоры каждого электрофильтра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 табл. 23, 25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Основной источник динамики цеха — дымососы газоочистки и дутьевая воздуходувка. Фундаменты машин с динамическими нагрузками рассчитываются по СП 26.13330: назначаются масса и жёсткость фундаментного блока, проверяются амплитуды колебаний опор и выполняется отстройка собственных частот от частоты возмущения. Остальные машины участка тихоходные, их влияние учитывается коэффициентом динамичности к статической нагрузке.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Дымосос ДН-15БНЖ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1500 об/мин — 25 Гц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5,64 (3,32 + 2,32)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от остаточного дисбаланса ротора; главный источник динамики цеха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Массивный железобетонный блок, отделённый сквозным швом; масса блока предварительно 45–70 т (8–12 масс агрегата); отстройка собственных частот от 25 Гц не менее ±25 %; амплитуды не выше допускаемых по СП 26.13330; класс балансировки ротора G6.3 — в опросный лист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Воздуходувка дутьевая</w:t>
            </w:r>
          </w:p>
          <w:p>
            <w:r>
              <w:rPr>
                <w:color w:val="666666"/>
                <w:sz w:val="13"/>
              </w:rPr>
              <w:t xml:space="preserve">1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3000 об/мин — 50 Гц и выше при мультипликаторе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от дисбаланса ротора; тип машины не определён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Фундамент по паспортным динамическим нагрузкам поставщика; до выбора машины в планах резервируется блок 6 × 4 м с допуском по массе до 60 т</w:t>
            </w:r>
          </w:p>
          <w:p>
            <w:r>
              <w:rPr>
                <w:color w:val="666666"/>
                <w:sz w:val="13"/>
              </w:rPr>
              <w:t xml:space="preserve">Источник: Решение БИ по СП 26.13330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Печь кипящего слоя</w:t>
            </w:r>
          </w:p>
          <w:p>
            <w:r>
              <w:rPr>
                <w:color w:val="666666"/>
                <w:sz w:val="13"/>
              </w:rPr>
              <w:t xml:space="preserve">1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0,5–5 Гц (пульсации слоя)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340–370 с загрузкой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Квазистатическая нагрузка со знакопеременной пульсационной составляющей: перепад 48–53 кПа на площади 28,27 м²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Знакопеременная составляющая принимается предварительно до 1–2 % статической нагрузки; проверяется резонанс плиты и опорного каркаса с низшими тонами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Электрофильтры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Импульсы встряхивания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89,7 с пылью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Ударные импульсы молотков встряхивания осадительных и коронирующих электродов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1,1 к статической нагрузке (предварительно); проверка узлов крепления на усталость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Смеситель, шнековые холодильники, конвейеры, питатели</w:t>
            </w:r>
          </w:p>
          <w:p>
            <w:r>
              <w:rPr>
                <w:color w:val="666666"/>
                <w:sz w:val="13"/>
              </w:rPr>
              <w:t xml:space="preserve">Комплект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Тихоходные приводы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Малые динамические добавки к статической нагрузке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1,1–1,2 (предварительно); отдельные виброфундаменты не требуются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Вибраторы бункеров и виброразгружатели силосов</w:t>
            </w:r>
          </w:p>
          <w:p>
            <w:r>
              <w:rPr>
                <w:color w:val="666666"/>
                <w:sz w:val="13"/>
              </w:rPr>
              <w:t xml:space="preserve">Комплект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По ТКП побудителей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Локальные импульсные нагрузки, гасятся конструкцией бункера и силоса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Проверка узлов крепления на усталость; передача на этажерку ограничивается упругими элементами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Мостовой кран и кран-балки</w:t>
            </w:r>
          </w:p>
          <w:p>
            <w:r>
              <w:rPr>
                <w:color w:val="666666"/>
                <w:sz w:val="13"/>
              </w:rPr>
              <w:t xml:space="preserve">3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20/5 и 5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и горизонтальные тормозные силы на колонны и подкрановые балки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Коэффициенты по СП 20.13330, разд. 9, по группе режима работы</w:t>
            </w:r>
          </w:p>
          <w:p>
            <w:r>
              <w:rPr>
                <w:color w:val="666666"/>
                <w:sz w:val="13"/>
              </w:rPr>
              <w:t xml:space="preserve">Источник: СП 20.13330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2"/>
      </w:pPr>
      <w:r>
        <w:rPr>
          <w:b/>
          <w:sz w:val="24"/>
        </w:rPr>
        <w:t xml:space="preserve">4.1 Общие требования к фундаментам машин с динамическими нагрузками</w:t>
      </w:r>
    </w:p>
    <w:p>
      <w:r>
        <w:rPr>
          <w:sz w:val="20"/>
        </w:rPr>
        <w:t xml:space="preserve">— Фундамент машины отделяется от плиты пола и от каркаса здания сквозным швом; передача вибраций на несущие конструкции и на технологические тракты исключается.</w:t>
      </w:r>
    </w:p>
    <w:p>
      <w:r>
        <w:rPr>
          <w:sz w:val="20"/>
        </w:rPr>
        <w:t xml:space="preserve">— Присоединение трубопроводов и газоходов выполняется через мягкие вставки или линзовые компенсаторы — исключается передача вибрации на тракт и обратное воздействие тракта на опоры машины.</w:t>
      </w:r>
    </w:p>
    <w:p>
      <w:r>
        <w:rPr>
          <w:sz w:val="20"/>
        </w:rPr>
        <w:t xml:space="preserve">— Собственные частоты фундамента отстраиваются от частоты возмущения не менее чем на ±25 % (предварительно); амплитуды колебаний опор — не выше допускаемых по СП 26.13330.</w:t>
      </w:r>
    </w:p>
    <w:p>
      <w:r>
        <w:rPr>
          <w:sz w:val="20"/>
        </w:rPr>
        <w:t xml:space="preserve">— Класс балансировки роторов G6.3 задаётся в опросных листах на машины с вращающимися частями; выверка соосности валов при монтаже — лазерной центровкой, подливка — безусадочными составами.</w:t>
      </w:r>
    </w:p>
    <w:p>
      <w:r>
        <w:rPr>
          <w:sz w:val="20"/>
        </w:rPr>
        <w:t xml:space="preserve">— Предусматриваются штатные точки вибромониторинга машин с интеграцией в АСУТП; уровни вибрации на рабочих местах — по ГОСТ 12.1.012-2004.</w:t>
      </w:r>
    </w:p>
    <w:p>
      <w:r>
        <w:rPr>
          <w:color w:val="555555"/>
          <w:sz w:val="18"/>
        </w:rPr>
        <w:t xml:space="preserve">Выбор между массивным фундаментом и пружинными виброизоляторами под дымососы — предмет технико-экономического обоснования на стадии БИ.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Разделение каркасов</w:t>
      </w:r>
    </w:p>
    <w:p>
      <w:r>
        <w:rPr>
          <w:sz w:val="20"/>
        </w:rPr>
        <w:t xml:space="preserve">Этажерки бункерного хозяйства и газоочистки, опорный каркас печи и котла-утилизатора — самостоятельные стальные каркасы, конструктивно отделённые от каркаса здания. Фундаменты дымососов отделяются сквозным швом от пола и каркаса, газоходы присоединяются через мягкие вставки или линзовые компенсаторы.</w:t>
      </w:r>
    </w:p>
    <w:p>
      <w:r>
        <w:rPr>
          <w:b/>
          <w:sz w:val="21"/>
        </w:rPr>
        <w:t xml:space="preserve">Приямки, каналы и проёмы</w:t>
      </w:r>
    </w:p>
    <w:p>
      <w:r>
        <w:rPr>
          <w:sz w:val="20"/>
        </w:rPr>
        <w:t xml:space="preserve">Под печью размещаются газовая коробка, дутьевой коллектор, зона обслуживания сопел и аварийная донная выгрузка в кюбель на отметке 0,000. В перекрытиях над печью и электрофильтрами предусматриваются монтажные проёмы. Проезд автоцементовозов и вывоза кюбелей — сквозной, с воротами в торцах.</w:t>
      </w:r>
    </w:p>
    <w:p>
      <w:r>
        <w:rPr>
          <w:b/>
          <w:sz w:val="21"/>
        </w:rPr>
        <w:t xml:space="preserve">Полы, бортики и трапы</w:t>
      </w:r>
    </w:p>
    <w:p>
      <w:r>
        <w:rPr>
          <w:sz w:val="20"/>
        </w:rPr>
        <w:t xml:space="preserve">Фундаменты и полы «мокрых» и пылевых зон — холодильники, силосы, узел фильтрации — выполняются с бортиками и трапами. Зона приёмки и переработки цементной меди — полы из кислотоупорного бетона с дренажными канавками.</w:t>
      </w:r>
    </w:p>
    <w:p>
      <w:r>
        <w:rPr>
          <w:b/>
          <w:sz w:val="21"/>
        </w:rPr>
        <w:t xml:space="preserve">Температурные воздействия</w:t>
      </w:r>
    </w:p>
    <w:p>
      <w:r>
        <w:rPr>
          <w:sz w:val="20"/>
        </w:rPr>
        <w:t xml:space="preserve">Локальный нагрев конструкций у печи и газоходов (тракт до 400–920 °C) компенсируется тепловыми экранами и вентилируемыми зазорами; расчётный температурный перепад для этажерки печи ±40 °C.</w:t>
      </w:r>
    </w:p>
    <w:p>
      <w:r>
        <w:rPr>
          <w:b/>
          <w:sz w:val="21"/>
        </w:rPr>
        <w:t xml:space="preserve">Ремонтные зоны</w:t>
      </w:r>
    </w:p>
    <w:p>
      <w:r>
        <w:rPr>
          <w:sz w:val="20"/>
        </w:rPr>
        <w:t xml:space="preserve">Предусматриваются зона раскладки футеровки и путь подачи материала при капитальном ремонте печи: разовая перекладка около 135 т шамота при кампании печи 3 года; полезная нагрузка ремонтных зон 10 кПа.</w:t>
      </w:r>
    </w:p>
    <w:p>
      <w:r>
        <w:rPr>
          <w:b/>
          <w:sz w:val="21"/>
        </w:rPr>
        <w:t xml:space="preserve">Анкеровка оборудования</w:t>
      </w:r>
    </w:p>
    <w:p>
      <w:r>
        <w:rPr>
          <w:sz w:val="20"/>
        </w:rPr>
        <w:t xml:space="preserve">Закладные детали и фундаментные болты — по ГОСТ 24379.1-2012; подливка динамического оборудования безусадочными составами. На планах фундаментов приводится привязка болтов по каждому узлу.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разработчику исходных данных;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котла-утилизатора, барабана, воздуходувки, рукавных фильтров — по техническим предложениям и конструкторской документации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согласуется с генеральным проектировщиком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Нагрузки от эстакады газохода в сернокислотный цех — после трассировки по генплану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Инженерно-геологические изыскания пятна застройки (модуль деформации, уровень грунтовых вод) — задание на изыскания в составе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опросным листам поставщиков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технико-экономическое обоснование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Масса шнекового холодильника огарка: оценка по монтажной единице (12–18 т) и значение реестра нагрузок (около 13 т с заполнением) расходятся; до получения данных изготовителя в расчёт принимается верхняя граница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мостового крана пролёта печи и котла-утилизатора (предварительно 20/5 т) назначается по массе барабана котла после выдачи конструкторской документации завода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количество рукавных фильтров и дымососов аспирации — после определения состава системы аспирации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ОВЭ75-БИ-Л1-НГ · Планы строительных конструкций и фундаментов с предварительными нагрузками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ОВЭ75-БИ-Л1-НГ · Планы строительных конструкций и фундаментов с предварительными нагрузками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