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ОЛ-ОВЭ75-13</w:t>
      </w:r>
    </w:p>
    <w:p>
      <w:r>
        <w:rPr>
          <w:b/>
          <w:sz w:val="28"/>
        </w:rPr>
        <w:t xml:space="preserve">Роботизированная катодосдирочная машина (КСМ)</w:t>
      </w:r>
    </w:p>
    <w:p>
      <w:r>
        <w:rPr>
          <w:color w:val="666666"/>
          <w:sz w:val="18"/>
        </w:rPr>
        <w:t xml:space="preserve">Лот №3 · Электроэкстракция · участок: Обработка катодов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Роботизированная катодосдирочная машина (КСМ) · Референс — поставка Outotec: роботы KUKA KR 300 (подающий) и KR 180 (выгружающий)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мощность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 (референс КСМ)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Такт обработки и промывка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4.2, п. 4.2.2; ТЗ п. 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Энергоносители и вода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Конструкционная и нержавеющая сталь, ПВХ, полипропилен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Обязательные требования перечня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1 мм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Правки к ИД (привести в листе)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требование сбыта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Стык с Лотом №4 (СГП)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v4.1 (границы, требования к КСМ);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Позиция длительного цикла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ТЗ v4.1 (состав)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Заводские испытания (FAT)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прогон полного цикла на «холодных» матрицах; подтверждение производительности 120 матриц/ч и точности позиционирования до 1 мм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решения БИ (bi_lot3, раздел испытаний)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посты машинного зрения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два поста контроля осадка (после промывки и на укладке) с отбраковкой листа в отдельную стопу до формирования пакета; резерв 2 м выходного конвейера с закладными и питанием под отдельный пост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контакты и идентификация матриц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узел щёточной очистки контактных штанг матриц с контролем чистоты машинным зрением; машиночитаемая идентификация каждой матрицы (лазерная маркировка или RFID); передача кодов дефектов значениями с координатами «лист — матрица — ванна»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пп. 12, 13, 16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уставка массы пакета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приём внешней управляемой уставки целевой массы пакета, диапазон 2450–2500 кг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мониторинг состояния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вибрация и температуры подшипников, наработка, счётчики пусков, токи приводов; выдача значениями (не битовыми статусами) по Modbus TCP; карта регистров — в составе документации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машины; таблица монтажных допусков с методом контроля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Комплектность и сроки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поставки, членение на поставочные блоки, срок изготовления (ориентир 12–18 мес) и программа FAT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bi_lot3.json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ksm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