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Core" Type="http://schemas.openxmlformats.org/package/2006/relationships/metadata/core-properties" Target="docProps/core.xml"/><Relationship Id="rIdApp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200"/>
        <w:gridCol w:w="7438"/>
      </w:tblGrid>
      <w:tr>
        <w:tc>
          <w:tcPr>
            <w:tcW w:w="2200" w:type="dxa"/>
          </w:tcPr>
          <w:p>
            <w:r>
              <w:rPr>
                <w:b/>
                <w:sz w:val="34"/>
              </w:rPr>
              <w:t xml:space="preserve">КВАНТ</w:t>
            </w:r>
          </w:p>
          <w:p>
            <w:r>
              <w:rPr>
                <w:color w:val="666666"/>
                <w:sz w:val="15"/>
              </w:rPr>
              <w:t xml:space="preserve">рабочие материалы проекта</w:t>
            </w:r>
          </w:p>
        </w:tc>
        <w:tc>
          <w:tcPr>
            <w:tcW w:w="7438" w:type="dxa"/>
          </w:tcPr>
          <w:p>
            <w:r>
              <w:rPr>
                <w:b/>
                <w:sz w:val="20"/>
              </w:rPr>
              <w:t xml:space="preserve">ОВЭ-75 · АО «Кольская ГМК» (АО «Кольская горно-металлургическая компания»)</w:t>
            </w:r>
          </w:p>
          <w:p>
            <w:r>
              <w:rPr>
                <w:color w:val="444444"/>
                <w:sz w:val="17"/>
              </w:rPr>
              <w:t xml:space="preserve">Комплекс «обжиг – выщелачивание – электроэкстракция» производительностью 75 000 т катодной меди в год · шифр КГМК.ОВЭ-75</w:t>
            </w:r>
          </w:p>
        </w:tc>
      </w:tr>
    </w:tbl>
    <w:p>
      <w:r>
        <w:rPr>
          <w:b/>
          <w:sz w:val="34"/>
        </w:rPr>
        <w:t xml:space="preserve">ОПРОСНЫЙ ЛИСТ ОЛ-ОВЭ75-10</w:t>
      </w:r>
    </w:p>
    <w:p>
      <w:r>
        <w:rPr>
          <w:b/>
          <w:sz w:val="28"/>
        </w:rPr>
        <w:t xml:space="preserve">Ванна электролизная</w:t>
      </w:r>
    </w:p>
    <w:p>
      <w:r>
        <w:rPr>
          <w:color w:val="666666"/>
          <w:sz w:val="18"/>
        </w:rPr>
        <w:t xml:space="preserve">Лот №3 · Электроэкстракция · участок: Электролиз · сформирован 01.09.2026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9638"/>
      </w:tblGrid>
      <w:tr>
        <w:tc>
          <w:tcPr>
            <w:tcW w:w="9638" w:type="dxa"/>
            <w:shd w:val="clear" w:fill="FFEB9C"/>
          </w:tcPr>
          <w:p>
            <w:r>
              <w:rPr>
                <w:b/>
                <w:color w:val="8A6200"/>
                <w:sz w:val="26"/>
              </w:rPr>
              <w:t xml:space="preserve">ЧЕРНОВИК — для запроса ТКП</w:t>
            </w:r>
          </w:p>
          <w:p>
            <w:r>
              <w:rPr>
                <w:color w:val="8A6200"/>
                <w:sz w:val="16"/>
              </w:rPr>
              <w:t xml:space="preserve">Не является выпущенной документацией. Значения — из ИД/ТЗ Заказчика и решений БИ (equipment.json, bi_lot*.json); жёлтые поля «уточняется по ТКП» заполняет поставщик в составе технико-коммерческого предложения.</w:t>
            </w:r>
          </w:p>
        </w:tc>
      </w:tr>
    </w:tbl>
    <w:p>
      <w:r>
        <w:rPr>
          <w:b/>
          <w:sz w:val="19"/>
        </w:rPr>
        <w:t xml:space="preserve">Позиции перечня оборудования, закрываемые листом: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100"/>
        <w:gridCol w:w="5038"/>
        <w:gridCol w:w="1800"/>
        <w:gridCol w:w="1700"/>
      </w:tblGrid>
      <w:tr>
        <w:tc>
          <w:tcPr>
            <w:tcW w:w="1100" w:type="dxa"/>
            <w:shd w:val="clear" w:fill="EFEFEF"/>
          </w:tcPr>
          <w:p>
            <w:r>
              <w:rPr>
                <w:b/>
                <w:sz w:val="18"/>
              </w:rPr>
              <w:t xml:space="preserve">Поз.</w:t>
            </w:r>
          </w:p>
        </w:tc>
        <w:tc>
          <w:tcPr>
            <w:tcW w:w="5038" w:type="dxa"/>
            <w:shd w:val="clear" w:fill="EFEFEF"/>
          </w:tcPr>
          <w:p>
            <w:r>
              <w:rPr>
                <w:b/>
                <w:sz w:val="18"/>
              </w:rPr>
              <w:t xml:space="preserve">Наименование · модель</w:t>
            </w:r>
          </w:p>
        </w:tc>
        <w:tc>
          <w:tcPr>
            <w:tcW w:w="1800" w:type="dxa"/>
            <w:shd w:val="clear" w:fill="EFEFEF"/>
          </w:tcPr>
          <w:p>
            <w:r>
              <w:rPr>
                <w:b/>
                <w:sz w:val="18"/>
              </w:rPr>
              <w:t xml:space="preserve">Кол-во</w:t>
            </w:r>
          </w:p>
        </w:tc>
        <w:tc>
          <w:tcPr>
            <w:tcW w:w="1700" w:type="dxa"/>
            <w:shd w:val="clear" w:fill="EFEFEF"/>
          </w:tcPr>
          <w:p>
            <w:r>
              <w:rPr>
                <w:b/>
                <w:sz w:val="18"/>
              </w:rPr>
              <w:t xml:space="preserve">Статус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4.2.3</w:t>
            </w:r>
          </w:p>
        </w:tc>
        <w:tc>
          <w:tcPr>
            <w:tcW w:w="5038" w:type="dxa"/>
          </w:tcPr>
          <w:p>
            <w:r>
              <w:rPr>
                <w:sz w:val="18"/>
              </w:rPr>
              <w:t xml:space="preserve">Электролизная ванна · Полимербетонные ванны Unicell или аналоги; характеристики по проекту ДЕЛЬТА (ИД ч.2, приложение В)</w:t>
            </w:r>
          </w:p>
        </w:tc>
        <w:tc>
          <w:tcPr>
            <w:tcW w:w="1800" w:type="dxa"/>
          </w:tcPr>
          <w:p>
            <w:r>
              <w:rPr>
                <w:sz w:val="17"/>
              </w:rPr>
              <w:t xml:space="preserve">180 (2 серии × 90); расчётно 163 шт., коэфф. запаса 1,104</w:t>
            </w:r>
          </w:p>
        </w:tc>
        <w:tc>
          <w:tcPr>
            <w:tcW w:w="1700" w:type="dxa"/>
          </w:tcPr>
          <w:p>
            <w:r>
              <w:rPr>
                <w:sz w:val="17"/>
              </w:rPr>
              <w:t xml:space="preserve">Закуп</w:t>
            </w:r>
          </w:p>
        </w:tc>
      </w:tr>
    </w:tbl>
    <w:p>
      <w:pPr>
        <w:pStyle w:val="Heading2"/>
      </w:pPr>
      <w:r>
        <w:t xml:space="preserve">Технические характеристики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600"/>
        <w:gridCol w:w="4200"/>
        <w:gridCol w:w="2838"/>
      </w:tblGrid>
      <w:tr>
        <w:tc>
          <w:tcPr>
            <w:tcW w:w="2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42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28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 / Примечание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Заказчик / объект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АО «Кольская ГМК» (АО «Кольская горно-металлургическая компания») · Комплекс «обжиг – выщелачивание – электроэкстракция» производительностью 75 000 т катодной меди в год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ТЗ на БИ, общие данные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Шифр проекта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КГМК.ОВЭ-75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ТЗ на БИ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Площадка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РФ, Мурманская область, г. Мончегорск, территория Промплощадка КГМК, 184507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ТЗ на БИ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Климат / внешние условия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IIА, субарктический климат; t хол. суток −40 °С; V снеговой район РФ; II ветровой район; сейсмичность 6 баллов по ОСР-2015-В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ТЗ п.2.9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Режим работы лота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358 дней/год, 8585 ч, круглосуточно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ТЗ, карточка лота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Тип / референс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Полимербетонные ванны Unicell или аналоги; характеристики по проекту ДЕЛЬТА (ИД ч.2, приложение В)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ч.2 табл. 4.2; ТЗ п.5.3; поз. 4.2.3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Количество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180 шт. = 2 серии × 90 (2 ряда по 45), запас 10 % (расчётно 163 шт.)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ч.2 п. 4.2.2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Габариты / электроды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Внутренние габариты 8485 × 1155 × 1650 мм (Д×Ш×В); 84 катода, 85 анодов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ч.2 табл. 4.2; ТЗ п.5.3; поз. 4.2.3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Материал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Полимербетон (монолитный винилэфирный композит)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ч.2 табл. 4.2; ТЗ п.5.3; поз. 4.2.3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Ток серии / плотность тока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47,04 кА (280 А/м²) / 42,45 кА (252,7 А/м²)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ч.2 табл. 4.2; расчёт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Напряжение ванны / серии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2,05 В ном (макс 2,5; проектное 2,71) / 190 В ном (макс ≈225 В)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ч.2 табл. 3.1; прил. В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Площадь осаждения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S = 84 × 2,0 = 168 м²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ч.2 табл. 3.1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Производительность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I факт = 42,45 кА; D расч = 280,0 А/м², D факт = 252,7 А/м²; производительность 49,49 кг/ч на ванну, 8066,1 кг/ч всего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ч.2 табл. 4.2; ТЗ п.5.3; поз. 4.2.3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Первичная загрузка электродов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аноды 15 300 шт. (Pb–Ca–Sn); матрицы 15 120 шт. (316L, SPLIT)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ч.2 табл. 8.5; расчёт 180 × 85 / 180 × 84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Температурный коридор электролита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50 ± 2 °С; макс 55 °С; кристаллизация солей ниже 30–40 °С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ч.2 табл. 3.1, п. 4.2.1, прил. В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Рабочая среда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H2SO4 112–120 кг/м³, 50 °С — сильноагрессивная для ж/б по СП 28.13330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ч.2 табл. 3.1; СП 28.13330.2017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Масса ванны в работе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41,0 т (8,7 + 14,9 эл-лит + 5,525 анодов + 11,592 катодов + 0,25 шлам)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ч.2 прил. В; расчёт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Монтажная единица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8,7 т, ≈8,8 × 1,5 × 1,8 м, 180 шт.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ч.2 прил. В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Аспирация / конструктив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Конструкция интегрирована с аспирацией: бортовой отсос + легкосъёмный колпак. Дно с уклоном к центру, донная пробка для выгрузки шлама. Чистка от свинцового шлама обычно не чаще 1 раза в год.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ч.2 табл. 4.2; ТЗ п.5.3; поз. 4.2.3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Испытания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гидроиспытание + МКЭ-подтверждение; изоляция до заливки (ПУЭ 7.10)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ч.2 прил. В; ПУЭ 7.10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Статус позиции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Закуп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ч.2 табл. 4.2; ТЗ п.5.3; поз. 4.2.3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Срок службы и гарантии химстойкости полимербетона</w:t>
            </w:r>
          </w:p>
        </w:tc>
        <w:tc>
          <w:tcPr>
            <w:tcW w:w="4200" w:type="dxa"/>
            <w:shd w:val="clear" w:fill="FFEB9C"/>
          </w:tcPr>
          <w:p>
            <w:r>
              <w:rPr>
                <w:i/>
                <w:color w:val="8A6200"/>
                <w:sz w:val="19"/>
              </w:rPr>
              <w:t xml:space="preserve">уточняется по ТКП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по ТКП поставщика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Закладная (цифровизация): испытательные клеммы и перемычки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Испытательные клеммы контроля изоляции на секциях 10–15 ванн; измерительные перемычки с шунтами на электрических разрывах трубопроводной обвязки — в комплекте ванн и обвязки, исполнение кислотостойкое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Реестр идей эффективности ред. 2.0, разд. 1.2 п. 19; ПУЭ (изд. 7) разд. 7.10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Закладная (цифровизация): точки милливольтового замера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Штатные безопасные точки замера напряжения пары электродов на межванновой ошиновке; высота до 1700 мм, доступ без лесов и стремянок; изоляция цепей на полное напряжение серии 225 В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Реестр идей эффективности ред. 2.0, разд. 1.2 п. 18; Прил. №5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Закладная (цифровизация): идентификация ванн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Кислотостойкая NFC/QR-метка на каждой из 180 ванн вне зоны брызг электролита; крепёж кислотостойкий, без открытого металла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Реестр идей эффективности ред. 2.0, разд. 1.2 п. 18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Закладная (цифровизация): реперные марки и монтажные допуски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Геодезические реперные марки и контрольные точки в КД ванны; допуск выставки бортов смежных ванн ±2 мм — таблицей допусков с методом контроля в КД поставщика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Реестр идей эффективности ред. 2.0, разд. 1.7 п. 43; ГОСТ Р 51872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Закладная (цифровизация): узлы контроля изоляции серии</w:t>
            </w:r>
          </w:p>
        </w:tc>
        <w:tc>
          <w:tcPr>
            <w:tcW w:w="4200" w:type="dxa"/>
            <w:shd w:val="clear" w:fill="FFEB9C"/>
          </w:tcPr>
          <w:p>
            <w:r>
              <w:rPr>
                <w:i/>
                <w:color w:val="8A6200"/>
                <w:sz w:val="19"/>
              </w:rPr>
              <w:t xml:space="preserve">уточняется по ТКП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точки подключения устройства непрерывного контроля изоляции и локализации утечек (225 В пост. тока) — согласовать с изготовителем в ТКП</w:t>
            </w:r>
          </w:p>
        </w:tc>
      </w:tr>
    </w:tbl>
    <w:p>
      <w:r>
        <w:rPr>
          <w:color w:val="8A6200"/>
          <w:sz w:val="17"/>
        </w:rPr>
        <w:t xml:space="preserve">Жёлтым выделено «уточняется по ТКП» — заполняет поставщик; остальные значения — исходные требования Заказчика (ИД/ТЗ) и решения БИ КВАНТ.</w:t>
      </w:r>
    </w:p>
    <w:p>
      <w:pPr>
        <w:pStyle w:val="Heading2"/>
      </w:pPr>
      <w:r>
        <w:t xml:space="preserve">Состав ответа поставщика</w:t>
      </w:r>
    </w:p>
    <w:p>
      <w:r>
        <w:rPr>
          <w:sz w:val="19"/>
        </w:rPr>
        <w:t xml:space="preserve">— ТКП с ценой, сроком изготовления и условиями поставки (DDP/DAP — указать);</w:t>
      </w:r>
    </w:p>
    <w:p>
      <w:r>
        <w:rPr>
          <w:sz w:val="19"/>
        </w:rPr>
        <w:t xml:space="preserve">— заполненный настоящий опросный лист (жёлтые поля) и опросный лист завода при наличии;</w:t>
      </w:r>
    </w:p>
    <w:p>
      <w:r>
        <w:rPr>
          <w:sz w:val="19"/>
        </w:rPr>
        <w:t xml:space="preserve">— чертёж общего вида, массогабаритные характеристики, членение на поставочные блоки;</w:t>
      </w:r>
    </w:p>
    <w:p>
      <w:r>
        <w:rPr>
          <w:sz w:val="19"/>
        </w:rPr>
        <w:t xml:space="preserve">— материальное исполнение с подтверждением марок (сертификаты, для CRA — ПМИ/МКК);</w:t>
      </w:r>
    </w:p>
    <w:p>
      <w:r>
        <w:rPr>
          <w:sz w:val="19"/>
        </w:rPr>
        <w:t xml:space="preserve">— объём шеф-монтажа, ПНР, ЗИП на 2 года; референс-лист аналогичных поставок.</w:t>
      </w:r>
    </w:p>
    <w:p>
      <w:r>
        <w:rPr>
          <w:color w:val="888888"/>
          <w:sz w:val="19"/>
        </w:rPr>
        <w:t xml:space="preserve">Контакт для ответа: ________________________________________________</w:t>
      </w:r>
    </w:p>
    <w:p>
      <w:pPr>
        <w:pStyle w:val="Muted"/>
      </w:pPr>
      <w:r>
        <w:rPr>
          <w:color w:val="666666"/>
          <w:sz w:val="16"/>
        </w:rPr>
        <w:t xml:space="preserve">Источники данных: equipment.json (перечень по ИД/ТЗ) и bi_lot3.json (инженерные решения БИ); сборка — ove/tools/build_specs.py, 01.09.2026.</w:t>
      </w:r>
    </w:p>
    <w:sectPr>
      <w:pgSz w:w="11906" w:h="16838"/>
      <w:pgMar w:top="1134" w:right="1134" w:bottom="1134" w:left="1134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360" w:after="160"/>
      <w:outlineLvl w:val="0"/>
    </w:pPr>
    <w:rPr>
      <w:b/>
      <w:sz w:val="32"/>
    </w:rPr>
  </w:style>
  <w:style w:type="paragraph" w:styleId="Heading2">
    <w:name w:val="heading 2"/>
    <w:basedOn w:val="Normal"/>
    <w:pPr>
      <w:keepNext/>
      <w:spacing w:before="280" w:after="120"/>
      <w:outlineLvl w:val="1"/>
    </w:pPr>
    <w:rPr>
      <w:b/>
      <w:sz w:val="26"/>
    </w:rPr>
  </w:style>
  <w:style w:type="paragraph" w:styleId="Muted">
    <w:name w:val="Muted"/>
    <w:basedOn w:val="Normal"/>
    <w:rPr>
      <w:color w:val="666666"/>
      <w:sz w:val="2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ООО «КВАНТ» · проект ОВЭ-75</Application>
  <Company>ООО «КВАНТ»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ОВЭ-75 · ol vanna elektroliznaya</dc:title>
  <dc:creator>ООО «КВАНТ»</dc:creator>
  <cp:lastModifiedBy>ООО «КВАНТ»</cp:lastModifiedBy>
  <dcterms:created xsi:type="dcterms:W3CDTF">2026-09-01T09:00:00Z</dcterms:created>
  <dcterms:modified xsi:type="dcterms:W3CDTF">2026-09-01T09:00:00Z</dcterms:modified>
</cp:coreProperties>
</file>