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Core" Type="http://schemas.openxmlformats.org/package/2006/relationships/metadata/core-properties" Target="docProps/core.xml"/><Relationship Id="rIdApp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tbl>
      <w:tblPr>
        <w:tblW w:w="1457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200"/>
        <w:gridCol w:w="12370"/>
      </w:tblGrid>
      <w:tr>
        <w:tc>
          <w:tcPr>
            <w:tcW w:w="2200" w:type="dxa"/>
          </w:tcPr>
          <w:p>
            <w:r>
              <w:rPr>
                <w:b/>
                <w:sz w:val="34"/>
              </w:rPr>
              <w:t xml:space="preserve">КВАНТ</w:t>
            </w:r>
          </w:p>
          <w:p>
            <w:r>
              <w:rPr>
                <w:color w:val="666666"/>
                <w:sz w:val="15"/>
              </w:rPr>
              <w:t xml:space="preserve">рабочие материалы проекта</w:t>
            </w:r>
          </w:p>
        </w:tc>
        <w:tc>
          <w:tcPr>
            <w:tcW w:w="12370" w:type="dxa"/>
          </w:tcPr>
          <w:p>
            <w:r>
              <w:rPr>
                <w:b/>
                <w:sz w:val="20"/>
              </w:rPr>
              <w:t xml:space="preserve">ОВЭ-75 · АО «Кольская ГМК» (АО «Кольская горно-металлургическая компания»)</w:t>
            </w:r>
          </w:p>
          <w:p>
            <w:r>
              <w:rPr>
                <w:color w:val="444444"/>
                <w:sz w:val="17"/>
              </w:rPr>
              <w:t xml:space="preserve">Комплекс «обжиг – выщелачивание – электроэкстракция» производительностью 75 000 т катодной меди в год · шифр КГМК.ОВЭ-75</w:t>
            </w:r>
          </w:p>
        </w:tc>
      </w:tr>
    </w:tbl>
    <w:p>
      <w:r>
        <w:rPr>
          <w:b/>
          <w:sz w:val="36"/>
        </w:rPr>
        <w:t xml:space="preserve">ВЕДОМОСТЬ ЗАКЛАДНЫХ РЕШЕНИЙ ДЛЯ ЦИФРОВИЗАЦИИ</w:t>
      </w:r>
    </w:p>
    <w:tbl>
      <w:tblPr>
        <w:tblW w:w="1457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4570"/>
      </w:tblGrid>
      <w:tr>
        <w:tc>
          <w:tcPr>
            <w:tcW w:w="14570" w:type="dxa"/>
            <w:shd w:val="clear" w:fill="FFEB9C"/>
          </w:tcPr>
          <w:p>
            <w:r>
              <w:rPr>
                <w:b/>
                <w:color w:val="8A6200"/>
                <w:sz w:val="26"/>
              </w:rPr>
              <w:t xml:space="preserve">ЧЕРНОВИК — рабочий материал базового инжиниринга</w:t>
            </w:r>
          </w:p>
          <w:p>
            <w:r>
              <w:rPr>
                <w:color w:val="8A6200"/>
                <w:sz w:val="16"/>
              </w:rPr>
              <w:t xml:space="preserve">Не является выпущенной документацией. Ведомость собрана из единого реестра закладных решений (zakladki.json); формулировки требований подлежат переносу в пояснительные записки, опросные листы, перечни сигналов и задания смежникам дословно, с сохранением идентификаторов Z-NN.</w:t>
            </w:r>
          </w:p>
        </w:tc>
      </w:tr>
    </w:tbl>
    <w:p>
      <w:r>
        <w:rPr>
          <w:sz w:val="18"/>
        </w:rPr>
        <w:t xml:space="preserve">Реестр закладных решений для последующей цифровизации комплекса ОВЭ-75. Закладки — гильзы, штуцеры, площадки, каналы, резервы, строки опросных листов, протоколов и заданий — проектируются на стадии базового инжиниринга: дооснащение действующего производства обходится в 3–5 раз дороже закладки в проект и требует остановок технологии, тогда как закладка на стадии БИ стоит около нуля. Реестр — единый источник для пояснительных записок, опросных листов, перечней сигналов, заданий смежникам и настоящей сводной ведомости; каждая запись вносится в базовый состав соответствующего лота. Источник формулировок — «Реестр предложений по повышению эффективности производства, автоматизации и контролю», редакция 2.0 от 28.08.2026 (разд. 1 — базовый состав, разд. 2 — абзацы «Подготовка в базовом составе», разд. 3 — закладные части).</w:t>
      </w:r>
    </w:p>
    <w:p>
      <w:r>
        <w:rPr>
          <w:b/>
          <w:sz w:val="19"/>
        </w:rPr>
        <w:t xml:space="preserve">Сводка: </w:t>
      </w:r>
      <w:r>
        <w:rPr>
          <w:sz w:val="19"/>
        </w:rPr>
        <w:t xml:space="preserve">закладок 46 (Лот №1 — 11, №2 — 6, №3 — 9, №4 — 4, общезаводских — 16). Реестр обновлён 2026-08-28; ведомость сформирована 01.09.2026.</w:t>
      </w:r>
    </w:p>
    <w:p>
      <w:pPr>
        <w:pStyle w:val="Heading2"/>
      </w:pPr>
      <w:r>
        <w:t xml:space="preserve">Лот №1 · Цех обжига — 11 закладок</w:t>
      </w:r>
    </w:p>
    <w:tbl>
      <w:tblPr>
        <w:tblW w:w="1457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600"/>
        <w:gridCol w:w="1600"/>
        <w:gridCol w:w="4600"/>
        <w:gridCol w:w="2700"/>
        <w:gridCol w:w="3300"/>
        <w:gridCol w:w="1770"/>
      </w:tblGrid>
      <w:tr>
        <w:tc>
          <w:tcPr>
            <w:tcW w:w="600" w:type="dxa"/>
            <w:shd w:val="clear" w:fill="EFEFEF"/>
          </w:tcPr>
          <w:p>
            <w:r>
              <w:rPr>
                <w:b/>
                <w:sz w:val="17"/>
              </w:rPr>
              <w:t xml:space="preserve">№</w:t>
            </w:r>
          </w:p>
        </w:tc>
        <w:tc>
          <w:tcPr>
            <w:tcW w:w="1600" w:type="dxa"/>
            <w:shd w:val="clear" w:fill="EFEFEF"/>
          </w:tcPr>
          <w:p>
            <w:r>
              <w:rPr>
                <w:b/>
                <w:sz w:val="17"/>
              </w:rPr>
              <w:t xml:space="preserve">Узел</w:t>
            </w:r>
          </w:p>
        </w:tc>
        <w:tc>
          <w:tcPr>
            <w:tcW w:w="4600" w:type="dxa"/>
            <w:shd w:val="clear" w:fill="EFEFEF"/>
          </w:tcPr>
          <w:p>
            <w:r>
              <w:rPr>
                <w:b/>
                <w:sz w:val="17"/>
              </w:rPr>
              <w:t xml:space="preserve">Требование (закладка в базовый состав)</w:t>
            </w:r>
          </w:p>
        </w:tc>
        <w:tc>
          <w:tcPr>
            <w:tcW w:w="2700" w:type="dxa"/>
            <w:shd w:val="clear" w:fill="EFEFEF"/>
          </w:tcPr>
          <w:p>
            <w:r>
              <w:rPr>
                <w:b/>
                <w:sz w:val="17"/>
              </w:rPr>
              <w:t xml:space="preserve">Куда внесено</w:t>
            </w:r>
          </w:p>
        </w:tc>
        <w:tc>
          <w:tcPr>
            <w:tcW w:w="3300" w:type="dxa"/>
            <w:shd w:val="clear" w:fill="EFEFEF"/>
          </w:tcPr>
          <w:p>
            <w:r>
              <w:rPr>
                <w:b/>
                <w:sz w:val="17"/>
              </w:rPr>
              <w:t xml:space="preserve">Обоснование</w:t>
            </w:r>
          </w:p>
        </w:tc>
        <w:tc>
          <w:tcPr>
            <w:tcW w:w="1770" w:type="dxa"/>
            <w:shd w:val="clear" w:fill="EFEFEF"/>
          </w:tcPr>
          <w:p>
            <w:r>
              <w:rPr>
                <w:b/>
                <w:sz w:val="17"/>
              </w:rPr>
              <w:t xml:space="preserve">Источник</w:t>
            </w:r>
          </w:p>
        </w:tc>
      </w:tr>
      <w:tr>
        <w:tc>
          <w:tcPr>
            <w:tcW w:w="600" w:type="dxa"/>
          </w:tcPr>
          <w:p>
            <w:r>
              <w:rPr>
                <w:b/>
                <w:sz w:val="17"/>
              </w:rPr>
              <w:t xml:space="preserve">Z-01</w:t>
            </w:r>
          </w:p>
        </w:tc>
        <w:tc>
          <w:tcPr>
            <w:tcW w:w="1600" w:type="dxa"/>
          </w:tcPr>
          <w:p>
            <w:r>
              <w:rPr>
                <w:b/>
                <w:sz w:val="17"/>
              </w:rPr>
              <w:t xml:space="preserve">Печь КС · футеровка</w:t>
            </w:r>
          </w:p>
          <w:p>
            <w:r>
              <w:rPr>
                <w:color w:val="444444"/>
                <w:sz w:val="16"/>
              </w:rPr>
              <w:t xml:space="preserve">Закладные гильзы термопар футеровки</w:t>
            </w:r>
          </w:p>
        </w:tc>
        <w:tc>
          <w:tcPr>
            <w:tcW w:w="4600" w:type="dxa"/>
          </w:tcPr>
          <w:p>
            <w:r>
              <w:rPr>
                <w:sz w:val="17"/>
              </w:rPr>
              <w:t xml:space="preserve">Два-три пояса закладных гильз под кабельные термопары в кладке (12–18 точек по поясам и радиусам) с кабельными выводами; гильзы включаются в задание на проект футеровки до его заказа — установка после кладки невозможна. Дополнительно 4–6 стационарных пирометров по периметру корпуса.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— задание на проект футеровки</w:t>
            </w:r>
          </w:p>
          <w:p>
            <w:r>
              <w:rPr>
                <w:sz w:val="16"/>
              </w:rPr>
              <w:t xml:space="preserve">— ОЛ печи КС</w:t>
            </w:r>
          </w:p>
          <w:p>
            <w:r>
              <w:rPr>
                <w:sz w:val="16"/>
              </w:rPr>
              <w:t xml:space="preserve">— спецификация КИП</w:t>
            </w:r>
          </w:p>
          <w:p>
            <w:r>
              <w:rPr>
                <w:sz w:val="16"/>
              </w:rPr>
              <w:t xml:space="preserve">— перечень сигналов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Перекладка футеровки по состоянию вместо календарных 3 лет: продление кампании на 6–12 мес возвращает 3–5 суток работы линии в год (250–450 т катодного эквивалента) и даёт раннее обнаружение перегрева корпуса.</w:t>
            </w:r>
          </w:p>
        </w:tc>
        <w:tc>
          <w:tcPr>
            <w:tcW w:w="1770" w:type="dxa"/>
          </w:tcPr>
          <w:p>
            <w:r>
              <w:rPr>
                <w:color w:val="666666"/>
                <w:sz w:val="15"/>
              </w:rPr>
              <w:t xml:space="preserve">Реестр идей ред. 2.0, разд. 1 п. 4</w:t>
            </w:r>
          </w:p>
          <w:p>
            <w:r>
              <w:rPr>
                <w:b/>
                <w:sz w:val="15"/>
              </w:rPr>
              <w:t xml:space="preserve">внесено в БИ</w:t>
            </w:r>
          </w:p>
        </w:tc>
      </w:tr>
      <w:tr>
        <w:tc>
          <w:tcPr>
            <w:tcW w:w="600" w:type="dxa"/>
          </w:tcPr>
          <w:p>
            <w:r>
              <w:rPr>
                <w:b/>
                <w:sz w:val="17"/>
              </w:rPr>
              <w:t xml:space="preserve">Z-02</w:t>
            </w:r>
          </w:p>
        </w:tc>
        <w:tc>
          <w:tcPr>
            <w:tcW w:w="1600" w:type="dxa"/>
          </w:tcPr>
          <w:p>
            <w:r>
              <w:rPr>
                <w:b/>
                <w:sz w:val="17"/>
              </w:rPr>
              <w:t xml:space="preserve">Печь КС</w:t>
            </w:r>
          </w:p>
          <w:p>
            <w:r>
              <w:rPr>
                <w:color w:val="444444"/>
                <w:sz w:val="16"/>
              </w:rPr>
              <w:t xml:space="preserve">Быстрые каналы давления слоя</w:t>
            </w:r>
          </w:p>
        </w:tc>
        <w:tc>
          <w:tcPr>
            <w:tcW w:w="4600" w:type="dxa"/>
          </w:tcPr>
          <w:p>
            <w:r>
              <w:rPr>
                <w:sz w:val="17"/>
              </w:rPr>
              <w:t xml:space="preserve">2–4 быстродействующих датчика давления слоя и газовой коробки с опросом не ниже 100 Гц; веер 8–10 термопар слоя на двух уровнях и четырёх радиусах (регулирование по медиане); контроль моментов забрасывателя и затвора выгрузки; снятие эталонных спектров пульсаций 0,5–5 Гц в программе пусконаладки.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— спецификация КИП</w:t>
            </w:r>
          </w:p>
          <w:p>
            <w:r>
              <w:rPr>
                <w:sz w:val="16"/>
              </w:rPr>
              <w:t xml:space="preserve">— перечень сигналов</w:t>
            </w:r>
          </w:p>
          <w:p>
            <w:r>
              <w:rPr>
                <w:sz w:val="16"/>
              </w:rPr>
              <w:t xml:space="preserve">— задание на прикладное ПО ПЛК</w:t>
            </w:r>
          </w:p>
          <w:p>
            <w:r>
              <w:rPr>
                <w:sz w:val="16"/>
              </w:rPr>
              <w:t xml:space="preserve">— программа ПНР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Предупреждение агломерации слоя за 30–60 минут со штатным переходом на вспомогательное дутьё: слив и чистка слоя занимают 3–7 суток (0,7–1,6 тыс. т недовыпуска); дополнительный КИП 5–8 млн ₽ окупается одной предотвращённой остановкой.</w:t>
            </w:r>
          </w:p>
        </w:tc>
        <w:tc>
          <w:tcPr>
            <w:tcW w:w="1770" w:type="dxa"/>
          </w:tcPr>
          <w:p>
            <w:r>
              <w:rPr>
                <w:color w:val="666666"/>
                <w:sz w:val="15"/>
              </w:rPr>
              <w:t xml:space="preserve">Реестр идей ред. 2.0, разд. 1 п. 1</w:t>
            </w:r>
          </w:p>
          <w:p>
            <w:r>
              <w:rPr>
                <w:b/>
                <w:sz w:val="15"/>
              </w:rPr>
              <w:t xml:space="preserve">внесено в БИ</w:t>
            </w:r>
          </w:p>
        </w:tc>
      </w:tr>
      <w:tr>
        <w:tc>
          <w:tcPr>
            <w:tcW w:w="600" w:type="dxa"/>
          </w:tcPr>
          <w:p>
            <w:r>
              <w:rPr>
                <w:b/>
                <w:sz w:val="17"/>
              </w:rPr>
              <w:t xml:space="preserve">Z-03</w:t>
            </w:r>
          </w:p>
        </w:tc>
        <w:tc>
          <w:tcPr>
            <w:tcW w:w="1600" w:type="dxa"/>
          </w:tcPr>
          <w:p>
            <w:r>
              <w:rPr>
                <w:b/>
                <w:sz w:val="17"/>
              </w:rPr>
              <w:t xml:space="preserve">Газовый тракт</w:t>
            </w:r>
          </w:p>
          <w:p>
            <w:r>
              <w:rPr>
                <w:color w:val="444444"/>
                <w:sz w:val="16"/>
              </w:rPr>
              <w:t xml:space="preserve">Второй пост газоанализа остаточного O₂</w:t>
            </w:r>
          </w:p>
        </w:tc>
        <w:tc>
          <w:tcPr>
            <w:tcW w:w="4600" w:type="dxa"/>
          </w:tcPr>
          <w:p>
            <w:r>
              <w:rPr>
                <w:sz w:val="17"/>
              </w:rPr>
              <w:t xml:space="preserve">Дублированное измерение остаточного кислорода: пост на выходе печи и второй пост перед сернокислотным цехом, обогреваемые линии отбора, сигналы 4–20 мА/HART; газоанализаторы — длинноцикловая позиция (6–10 мес), вносятся в опросные листы базового инжиниринга.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— ОЛ газоанализа</w:t>
            </w:r>
          </w:p>
          <w:p>
            <w:r>
              <w:rPr>
                <w:sz w:val="16"/>
              </w:rPr>
              <w:t xml:space="preserve">— спецификация КИП</w:t>
            </w:r>
          </w:p>
          <w:p>
            <w:r>
              <w:rPr>
                <w:sz w:val="16"/>
              </w:rPr>
              <w:t xml:space="preserve">— P&amp;ID</w:t>
            </w:r>
          </w:p>
          <w:p>
            <w:r>
              <w:rPr>
                <w:sz w:val="16"/>
              </w:rPr>
              <w:t xml:space="preserve">— перечень длинноцикловых позиций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Опора контура коррекции обогащения дутья и баланса серы на границе цехов: возврат 5–8 % кислорода без изменения принятой технологии.</w:t>
            </w:r>
          </w:p>
        </w:tc>
        <w:tc>
          <w:tcPr>
            <w:tcW w:w="1770" w:type="dxa"/>
          </w:tcPr>
          <w:p>
            <w:r>
              <w:rPr>
                <w:color w:val="666666"/>
                <w:sz w:val="15"/>
              </w:rPr>
              <w:t xml:space="preserve">Реестр идей ред. 2.0, разд. 1 п. 3</w:t>
            </w:r>
          </w:p>
          <w:p>
            <w:r>
              <w:rPr>
                <w:b/>
                <w:sz w:val="15"/>
              </w:rPr>
              <w:t xml:space="preserve">внесено в БИ</w:t>
            </w:r>
          </w:p>
        </w:tc>
      </w:tr>
      <w:tr>
        <w:tc>
          <w:tcPr>
            <w:tcW w:w="600" w:type="dxa"/>
          </w:tcPr>
          <w:p>
            <w:r>
              <w:rPr>
                <w:b/>
                <w:sz w:val="17"/>
              </w:rPr>
              <w:t xml:space="preserve">Z-04</w:t>
            </w:r>
          </w:p>
        </w:tc>
        <w:tc>
          <w:tcPr>
            <w:tcW w:w="1600" w:type="dxa"/>
          </w:tcPr>
          <w:p>
            <w:r>
              <w:rPr>
                <w:b/>
                <w:sz w:val="17"/>
              </w:rPr>
              <w:t xml:space="preserve">Граница цеха обжига</w:t>
            </w:r>
          </w:p>
          <w:p>
            <w:r>
              <w:rPr>
                <w:color w:val="444444"/>
                <w:sz w:val="16"/>
              </w:rPr>
              <w:t xml:space="preserve">Узел технического учёта кислорода</w:t>
            </w:r>
          </w:p>
        </w:tc>
        <w:tc>
          <w:tcPr>
            <w:tcW w:w="4600" w:type="dxa"/>
          </w:tcPr>
          <w:p>
            <w:r>
              <w:rPr>
                <w:sz w:val="17"/>
              </w:rPr>
              <w:t xml:space="preserve">Узел учёта кислорода на границе цеха: расходомер в кислородном исполнении с заводским обезжириванием, класс измерения — коммерческий, поставка с первичной поверкой; расчётные показатели нм³/т в системе; приборное подтверждение удельного расхода — в программе гарантийных испытаний.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— P&amp;ID</w:t>
            </w:r>
          </w:p>
          <w:p>
            <w:r>
              <w:rPr>
                <w:sz w:val="16"/>
              </w:rPr>
              <w:t xml:space="preserve">— спецификация КИП</w:t>
            </w:r>
          </w:p>
          <w:p>
            <w:r>
              <w:rPr>
                <w:sz w:val="16"/>
              </w:rPr>
              <w:t xml:space="preserve">— программа гарантийных испытаний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Норма исходных данных 37,1 млн нм³/год превышает балансовую потребность примерно на 16 %; возврат 1,9–3,0 млн нм³/год — порядка 8–15 млн ₽/год.</w:t>
            </w:r>
          </w:p>
        </w:tc>
        <w:tc>
          <w:tcPr>
            <w:tcW w:w="1770" w:type="dxa"/>
          </w:tcPr>
          <w:p>
            <w:r>
              <w:rPr>
                <w:color w:val="666666"/>
                <w:sz w:val="15"/>
              </w:rPr>
              <w:t xml:space="preserve">Реестр идей ред. 2.0, разд. 1 п. 3</w:t>
            </w:r>
          </w:p>
          <w:p>
            <w:r>
              <w:rPr>
                <w:b/>
                <w:sz w:val="15"/>
              </w:rPr>
              <w:t xml:space="preserve">внесено в БИ</w:t>
            </w:r>
          </w:p>
        </w:tc>
      </w:tr>
      <w:tr>
        <w:tc>
          <w:tcPr>
            <w:tcW w:w="600" w:type="dxa"/>
          </w:tcPr>
          <w:p>
            <w:r>
              <w:rPr>
                <w:b/>
                <w:sz w:val="17"/>
              </w:rPr>
              <w:t xml:space="preserve">Z-05</w:t>
            </w:r>
          </w:p>
        </w:tc>
        <w:tc>
          <w:tcPr>
            <w:tcW w:w="1600" w:type="dxa"/>
          </w:tcPr>
          <w:p>
            <w:r>
              <w:rPr>
                <w:b/>
                <w:sz w:val="17"/>
              </w:rPr>
              <w:t xml:space="preserve">Газовый тракт</w:t>
            </w:r>
          </w:p>
          <w:p>
            <w:r>
              <w:rPr>
                <w:color w:val="444444"/>
                <w:sz w:val="16"/>
              </w:rPr>
              <w:t xml:space="preserve">Термопары холодных точек и зонды коррозии</w:t>
            </w:r>
          </w:p>
        </w:tc>
        <w:tc>
          <w:tcPr>
            <w:tcW w:w="4600" w:type="dxa"/>
          </w:tcPr>
          <w:p>
            <w:r>
              <w:rPr>
                <w:sz w:val="17"/>
              </w:rPr>
              <w:t xml:space="preserve">Сетка 12–20 поверхностных термопар на расчётных холодных точках (бункеры и изоляторные коробки электрофильтров, врезки, компенсаторы, тупиковые участки); расчётный канал кислотной точки росы (218–221 °C при SO₃ 0,72 %) с сигнализацией «запас менее 20 °C»; два-три штуцера под зонды скорости коррозии; формализованные последовательности прогрева и продувки в ПЛК.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— ведомость холодных точек</w:t>
            </w:r>
          </w:p>
          <w:p>
            <w:r>
              <w:rPr>
                <w:sz w:val="16"/>
              </w:rPr>
              <w:t xml:space="preserve">— ОЛ электрофильтров (обогрев бункеров)</w:t>
            </w:r>
          </w:p>
          <w:p>
            <w:r>
              <w:rPr>
                <w:sz w:val="16"/>
              </w:rPr>
              <w:t xml:space="preserve">— задание на прикладное ПО ПЛК</w:t>
            </w:r>
          </w:p>
          <w:p>
            <w:r>
              <w:rPr>
                <w:sz w:val="16"/>
              </w:rPr>
              <w:t xml:space="preserve">— спецификация КИП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Одна предотвращённая остановка на ремонт прокорродировавшего участка (2–3 суток раз в два года) сохраняет 200–300 т катодного эквивалента и 5–15 млн ₽ ремонта.</w:t>
            </w:r>
          </w:p>
        </w:tc>
        <w:tc>
          <w:tcPr>
            <w:tcW w:w="1770" w:type="dxa"/>
          </w:tcPr>
          <w:p>
            <w:r>
              <w:rPr>
                <w:color w:val="666666"/>
                <w:sz w:val="15"/>
              </w:rPr>
              <w:t xml:space="preserve">Реестр идей ред. 2.0, разд. 1 п. 8</w:t>
            </w:r>
          </w:p>
          <w:p>
            <w:r>
              <w:rPr>
                <w:b/>
                <w:sz w:val="15"/>
              </w:rPr>
              <w:t xml:space="preserve">внесено в БИ</w:t>
            </w:r>
          </w:p>
        </w:tc>
      </w:tr>
      <w:tr>
        <w:tc>
          <w:tcPr>
            <w:tcW w:w="600" w:type="dxa"/>
          </w:tcPr>
          <w:p>
            <w:r>
              <w:rPr>
                <w:b/>
                <w:sz w:val="17"/>
              </w:rPr>
              <w:t xml:space="preserve">Z-06</w:t>
            </w:r>
          </w:p>
        </w:tc>
        <w:tc>
          <w:tcPr>
            <w:tcW w:w="1600" w:type="dxa"/>
          </w:tcPr>
          <w:p>
            <w:r>
              <w:rPr>
                <w:b/>
                <w:sz w:val="17"/>
              </w:rPr>
              <w:t xml:space="preserve">Электрофильтры</w:t>
            </w:r>
          </w:p>
          <w:p>
            <w:r>
              <w:rPr>
                <w:color w:val="444444"/>
                <w:sz w:val="16"/>
              </w:rPr>
              <w:t xml:space="preserve">Полупериодные контроллеры агрегатов питания</w:t>
            </w:r>
          </w:p>
        </w:tc>
        <w:tc>
          <w:tcPr>
            <w:tcW w:w="4600" w:type="dxa"/>
          </w:tcPr>
          <w:p>
            <w:r>
              <w:rPr>
                <w:sz w:val="17"/>
              </w:rPr>
              <w:t xml:space="preserve">В ОЛ электрофильтров и агрегатов питания: микропроцессорные контроллеры с полупериодным режимом и цифровым интерфейсом; поосная телеметрия напряжения, тока и частоты искрений (12–16 сигналов на аппарат); циклограмма встряхивания последнего поля со снятым питанием с оптимизацией по пылемеру; регистрация вольт-амперных характеристик полей со сравнением с эталоном ПНР. Внести до размещения заказа — аппарат длинноциклового изготовления (9–14 мес).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— ОЛ электрофильтров</w:t>
            </w:r>
          </w:p>
          <w:p>
            <w:r>
              <w:rPr>
                <w:sz w:val="16"/>
              </w:rPr>
              <w:t xml:space="preserve">— ОЛ агрегатов питания</w:t>
            </w:r>
          </w:p>
          <w:p>
            <w:r>
              <w:rPr>
                <w:sz w:val="16"/>
              </w:rPr>
              <w:t xml:space="preserve">— перечень сигналов</w:t>
            </w:r>
          </w:p>
          <w:p>
            <w:r>
              <w:rPr>
                <w:sz w:val="16"/>
              </w:rPr>
              <w:t xml:space="preserve">— программа ПНР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Гарантия остаточной запылённости 0,1 г/нм³ перед сернокислотным цехом (степень очистки 99,5–99,7 %) переносится на изготовителя; попутно минус 30–60 % энергии коронирования (0,1–0,3 млн кВт·ч/год).</w:t>
            </w:r>
          </w:p>
        </w:tc>
        <w:tc>
          <w:tcPr>
            <w:tcW w:w="1770" w:type="dxa"/>
          </w:tcPr>
          <w:p>
            <w:r>
              <w:rPr>
                <w:color w:val="666666"/>
                <w:sz w:val="15"/>
              </w:rPr>
              <w:t xml:space="preserve">Реестр идей ред. 2.0, разд. 1 пп. 4, 6</w:t>
            </w:r>
          </w:p>
          <w:p>
            <w:r>
              <w:rPr>
                <w:b/>
                <w:sz w:val="15"/>
              </w:rPr>
              <w:t xml:space="preserve">внесено в БИ</w:t>
            </w:r>
          </w:p>
        </w:tc>
      </w:tr>
      <w:tr>
        <w:tc>
          <w:tcPr>
            <w:tcW w:w="600" w:type="dxa"/>
          </w:tcPr>
          <w:p>
            <w:r>
              <w:rPr>
                <w:b/>
                <w:sz w:val="17"/>
              </w:rPr>
              <w:t xml:space="preserve">Z-07</w:t>
            </w:r>
          </w:p>
        </w:tc>
        <w:tc>
          <w:tcPr>
            <w:tcW w:w="1600" w:type="dxa"/>
          </w:tcPr>
          <w:p>
            <w:r>
              <w:rPr>
                <w:b/>
                <w:sz w:val="17"/>
              </w:rPr>
              <w:t xml:space="preserve">Дымосос, воздуходувка</w:t>
            </w:r>
          </w:p>
          <w:p>
            <w:r>
              <w:rPr>
                <w:color w:val="444444"/>
                <w:sz w:val="16"/>
              </w:rPr>
              <w:t xml:space="preserve">Площадки под вибродатчики и измерительные ТТ 6 кВ</w:t>
            </w:r>
          </w:p>
        </w:tc>
        <w:tc>
          <w:tcPr>
            <w:tcW w:w="4600" w:type="dxa"/>
          </w:tcPr>
          <w:p>
            <w:r>
              <w:rPr>
                <w:sz w:val="17"/>
              </w:rPr>
              <w:t xml:space="preserve">Обработанные площадки под стационарные датчики вибрации и температуры подшипников — в ОЛ машин газового тракта; измерительные трансформаторы тока 6 кВ для токовой диагностики приводов; резерв 4–6 аналоговых каналов на агрегат в пределах штатного запаса 30 %; место шкафа диагностики в помещении АСУТП; эталонные спектры и вибрационная приёмка — в программе ПНР.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— ОЛ дымососа и воздуходувки</w:t>
            </w:r>
          </w:p>
          <w:p>
            <w:r>
              <w:rPr>
                <w:sz w:val="16"/>
              </w:rPr>
              <w:t xml:space="preserve">— однолинейные схемы 6 кВ</w:t>
            </w:r>
          </w:p>
          <w:p>
            <w:r>
              <w:rPr>
                <w:sz w:val="16"/>
              </w:rPr>
              <w:t xml:space="preserve">— перечень сигналов</w:t>
            </w:r>
          </w:p>
          <w:p>
            <w:r>
              <w:rPr>
                <w:sz w:val="16"/>
              </w:rPr>
              <w:t xml:space="preserve">— программа ПНР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Стационарная диагностика с первого дня — перевод машин единственной нитки газового тракта на обслуживание по состоянию; дооснащение после пуска в 3–5 раз дороже.</w:t>
            </w:r>
          </w:p>
        </w:tc>
        <w:tc>
          <w:tcPr>
            <w:tcW w:w="1770" w:type="dxa"/>
          </w:tcPr>
          <w:p>
            <w:r>
              <w:rPr>
                <w:color w:val="666666"/>
                <w:sz w:val="15"/>
              </w:rPr>
              <w:t xml:space="preserve">Реестр идей ред. 2.0, разд. 1 п. 11</w:t>
            </w:r>
          </w:p>
          <w:p>
            <w:r>
              <w:rPr>
                <w:b/>
                <w:sz w:val="15"/>
              </w:rPr>
              <w:t xml:space="preserve">внесено в БИ</w:t>
            </w:r>
          </w:p>
        </w:tc>
      </w:tr>
      <w:tr>
        <w:tc>
          <w:tcPr>
            <w:tcW w:w="600" w:type="dxa"/>
          </w:tcPr>
          <w:p>
            <w:r>
              <w:rPr>
                <w:b/>
                <w:sz w:val="17"/>
              </w:rPr>
              <w:t xml:space="preserve">Z-08</w:t>
            </w:r>
          </w:p>
        </w:tc>
        <w:tc>
          <w:tcPr>
            <w:tcW w:w="1600" w:type="dxa"/>
          </w:tcPr>
          <w:p>
            <w:r>
              <w:rPr>
                <w:b/>
                <w:sz w:val="17"/>
              </w:rPr>
              <w:t xml:space="preserve">Дымосос, воздуходувка</w:t>
            </w:r>
          </w:p>
          <w:p>
            <w:r>
              <w:rPr>
                <w:color w:val="444444"/>
                <w:sz w:val="16"/>
              </w:rPr>
              <w:t xml:space="preserve">Частотно-регулируемые приводы</w:t>
            </w:r>
          </w:p>
        </w:tc>
        <w:tc>
          <w:tcPr>
            <w:tcW w:w="4600" w:type="dxa"/>
          </w:tcPr>
          <w:p>
            <w:r>
              <w:rPr>
                <w:sz w:val="17"/>
              </w:rPr>
              <w:t xml:space="preserve">ЧРП дымососа вместо направляющего аппарата (нормировано 400 кВт при потребных 150–250 кВт) и воздуходувки дутья как точного органа контура соотношения кислород/воздух; подстроечные приводы насосов вместо дросселирования; двигатели классов IE3/IE4 для парка свыше 7,5 кВт; счётчики с цифровым интерфейсом по фидерам от 30 кВт.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— однолинейные схемы</w:t>
            </w:r>
          </w:p>
          <w:p>
            <w:r>
              <w:rPr>
                <w:sz w:val="16"/>
              </w:rPr>
              <w:t xml:space="preserve">— ОЛ машин</w:t>
            </w:r>
          </w:p>
          <w:p>
            <w:r>
              <w:rPr>
                <w:sz w:val="16"/>
              </w:rPr>
              <w:t xml:space="preserve">— спецификация электрооборудования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0,7–1,2 ГВт·ч/год по дымососу; суммарно 1–1,7 ГВт·ч/год вспомогательной энергии (4–7 млн ₽/год) с разнесением по агрегатам в ТЭП.</w:t>
            </w:r>
          </w:p>
        </w:tc>
        <w:tc>
          <w:tcPr>
            <w:tcW w:w="1770" w:type="dxa"/>
          </w:tcPr>
          <w:p>
            <w:r>
              <w:rPr>
                <w:color w:val="666666"/>
                <w:sz w:val="15"/>
              </w:rPr>
              <w:t xml:space="preserve">Реестр идей ред. 2.0, разд. 1 п. 31</w:t>
            </w:r>
          </w:p>
          <w:p>
            <w:r>
              <w:rPr>
                <w:b/>
                <w:sz w:val="15"/>
              </w:rPr>
              <w:t xml:space="preserve">внесено в БИ</w:t>
            </w:r>
          </w:p>
        </w:tc>
      </w:tr>
      <w:tr>
        <w:tc>
          <w:tcPr>
            <w:tcW w:w="600" w:type="dxa"/>
          </w:tcPr>
          <w:p>
            <w:r>
              <w:rPr>
                <w:b/>
                <w:sz w:val="17"/>
              </w:rPr>
              <w:t xml:space="preserve">Z-09</w:t>
            </w:r>
          </w:p>
        </w:tc>
        <w:tc>
          <w:tcPr>
            <w:tcW w:w="1600" w:type="dxa"/>
          </w:tcPr>
          <w:p>
            <w:r>
              <w:rPr>
                <w:b/>
                <w:sz w:val="17"/>
              </w:rPr>
              <w:t xml:space="preserve">Шихтоподготовка, выгрузка огарка</w:t>
            </w:r>
          </w:p>
          <w:p>
            <w:r>
              <w:rPr>
                <w:color w:val="444444"/>
                <w:sz w:val="16"/>
              </w:rPr>
              <w:t xml:space="preserve">Пробоотборники шихты и огарка, экспресс-лаборатория</w:t>
            </w:r>
          </w:p>
        </w:tc>
        <w:tc>
          <w:tcPr>
            <w:tcW w:w="4600" w:type="dxa"/>
          </w:tcPr>
          <w:p>
            <w:r>
              <w:rPr>
                <w:sz w:val="17"/>
              </w:rPr>
              <w:t xml:space="preserve">Два автоматических механических пробоотборника: сборный конвейер шихты после смесителя и тракт выгрузки огарка с охлаждаемым отбором; помещение экспресс-лаборатории цеха с рентгенофлуоресцентным спектрометром и анализатором серы (цикл анализа 30–60 минут вместо раза в смену); требования представительности отбора — в ОЛ конвейерных трактов.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— ОЛ конвейерных трактов</w:t>
            </w:r>
          </w:p>
          <w:p>
            <w:r>
              <w:rPr>
                <w:sz w:val="16"/>
              </w:rPr>
              <w:t xml:space="preserve">— компоновка (помещение лаборатории)</w:t>
            </w:r>
          </w:p>
          <w:p>
            <w:r>
              <w:rPr>
                <w:sz w:val="16"/>
              </w:rPr>
              <w:t xml:space="preserve">— задание на лабораторную систему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Состав шихты — главное возмущение печи: удержание температуры слоя и SO₂ в гарантийном коридоре при сменах рецепта; партии недожога обнаруживаются до выщелачивания.</w:t>
            </w:r>
          </w:p>
        </w:tc>
        <w:tc>
          <w:tcPr>
            <w:tcW w:w="1770" w:type="dxa"/>
          </w:tcPr>
          <w:p>
            <w:r>
              <w:rPr>
                <w:color w:val="666666"/>
                <w:sz w:val="15"/>
              </w:rPr>
              <w:t xml:space="preserve">Реестр идей ред. 2.0, разд. 2 п. 17 (базовая часть)</w:t>
            </w:r>
          </w:p>
          <w:p>
            <w:r>
              <w:rPr>
                <w:b/>
                <w:sz w:val="15"/>
              </w:rPr>
              <w:t xml:space="preserve">внесено в БИ</w:t>
            </w:r>
          </w:p>
        </w:tc>
      </w:tr>
      <w:tr>
        <w:tc>
          <w:tcPr>
            <w:tcW w:w="600" w:type="dxa"/>
          </w:tcPr>
          <w:p>
            <w:r>
              <w:rPr>
                <w:b/>
                <w:sz w:val="17"/>
              </w:rPr>
              <w:t xml:space="preserve">Z-10</w:t>
            </w:r>
          </w:p>
        </w:tc>
        <w:tc>
          <w:tcPr>
            <w:tcW w:w="1600" w:type="dxa"/>
          </w:tcPr>
          <w:p>
            <w:r>
              <w:rPr>
                <w:b/>
                <w:sz w:val="17"/>
              </w:rPr>
              <w:t xml:space="preserve">Свеча аспирации</w:t>
            </w:r>
          </w:p>
          <w:p>
            <w:r>
              <w:rPr>
                <w:color w:val="444444"/>
                <w:sz w:val="16"/>
              </w:rPr>
              <w:t xml:space="preserve">Готовность свечи к автоматическому контролю выбросов</w:t>
            </w:r>
          </w:p>
        </w:tc>
        <w:tc>
          <w:tcPr>
            <w:tcW w:w="4600" w:type="dxa"/>
          </w:tcPr>
          <w:p>
            <w:r>
              <w:rPr>
                <w:sz w:val="17"/>
              </w:rPr>
              <w:t xml:space="preserve">Нормируемое измерительное сечение свечи с прямыми участками; две резервные врезки с заглушками; площадка обслуживания с лестницей; питание первой категории и кабельная трасса; место под стойку и шлюз передачи данных; фиксация в документах границы «газ на сернокислотный цех выбросом не является» (патрубок дымососа).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— задание на аспирацию и газоходы</w:t>
            </w:r>
          </w:p>
          <w:p>
            <w:r>
              <w:rPr>
                <w:sz w:val="16"/>
              </w:rPr>
              <w:t xml:space="preserve">— компоновка</w:t>
            </w:r>
          </w:p>
          <w:p>
            <w:r>
              <w:rPr>
                <w:sz w:val="16"/>
              </w:rPr>
              <w:t xml:space="preserve">— раздел электроснабжения</w:t>
            </w:r>
          </w:p>
          <w:p>
            <w:r>
              <w:rPr>
                <w:sz w:val="16"/>
              </w:rPr>
              <w:t xml:space="preserve">— раздел сетей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Объект I категории негативного воздействия: после получения КЭР — программа оснащения автоматическим контролем выбросов со сроком до 4 лет; дооснащение действующей свечи — 3–10 млн ₽ плюс остановки аспирации, сблокированной с технологией.</w:t>
            </w:r>
          </w:p>
        </w:tc>
        <w:tc>
          <w:tcPr>
            <w:tcW w:w="1770" w:type="dxa"/>
          </w:tcPr>
          <w:p>
            <w:r>
              <w:rPr>
                <w:color w:val="666666"/>
                <w:sz w:val="15"/>
              </w:rPr>
              <w:t xml:space="preserve">Реестр идей ред. 2.0, разд. 2 п. 15 (подготовка в базовом составе)</w:t>
            </w:r>
          </w:p>
          <w:p>
            <w:r>
              <w:rPr>
                <w:b/>
                <w:sz w:val="15"/>
              </w:rPr>
              <w:t xml:space="preserve">внесено в БИ</w:t>
            </w:r>
          </w:p>
        </w:tc>
      </w:tr>
      <w:tr>
        <w:tc>
          <w:tcPr>
            <w:tcW w:w="600" w:type="dxa"/>
          </w:tcPr>
          <w:p>
            <w:r>
              <w:rPr>
                <w:b/>
                <w:sz w:val="17"/>
              </w:rPr>
              <w:t xml:space="preserve">Z-11</w:t>
            </w:r>
          </w:p>
        </w:tc>
        <w:tc>
          <w:tcPr>
            <w:tcW w:w="1600" w:type="dxa"/>
          </w:tcPr>
          <w:p>
            <w:r>
              <w:rPr>
                <w:b/>
                <w:sz w:val="17"/>
              </w:rPr>
              <w:t xml:space="preserve">Пароконденсатный тракт (РОУ)</w:t>
            </w:r>
          </w:p>
          <w:p>
            <w:r>
              <w:rPr>
                <w:color w:val="444444"/>
                <w:sz w:val="16"/>
              </w:rPr>
              <w:t xml:space="preserve">Закладные РОУ под противодавленческую машину</w:t>
            </w:r>
          </w:p>
        </w:tc>
        <w:tc>
          <w:tcPr>
            <w:tcW w:w="4600" w:type="dxa"/>
          </w:tcPr>
          <w:p>
            <w:r>
              <w:rPr>
                <w:sz w:val="17"/>
              </w:rPr>
              <w:t xml:space="preserve">Тройники и отсечная арматура в обвязке байпаса редукционно-охладительной установки; площадка 6×4 м с фундаментом; кабельная трасса и резервная ячейка в распределительном устройстве.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— P&amp;ID пароконденсатного тракта</w:t>
            </w:r>
          </w:p>
          <w:p>
            <w:r>
              <w:rPr>
                <w:sz w:val="16"/>
              </w:rPr>
              <w:t xml:space="preserve">— строительное задание</w:t>
            </w:r>
          </w:p>
          <w:p>
            <w:r>
              <w:rPr>
                <w:sz w:val="16"/>
              </w:rPr>
              <w:t xml:space="preserve">— однолинейная схема РУ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Опция паровой машины на перепаде РОУ ставится позднее без врезок и остановки паросилового тракта.</w:t>
            </w:r>
          </w:p>
        </w:tc>
        <w:tc>
          <w:tcPr>
            <w:tcW w:w="1770" w:type="dxa"/>
          </w:tcPr>
          <w:p>
            <w:r>
              <w:rPr>
                <w:color w:val="666666"/>
                <w:sz w:val="15"/>
              </w:rPr>
              <w:t xml:space="preserve">Реестр идей ред. 2.0, разд. 2 п. 14 (подготовка в базовом составе)</w:t>
            </w:r>
          </w:p>
          <w:p>
            <w:r>
              <w:rPr>
                <w:b/>
                <w:sz w:val="15"/>
              </w:rPr>
              <w:t xml:space="preserve">внесено в БИ</w:t>
            </w:r>
          </w:p>
        </w:tc>
      </w:tr>
    </w:tbl>
    <w:p>
      <w:pPr>
        <w:pStyle w:val="Heading2"/>
      </w:pPr>
      <w:r>
        <w:t xml:space="preserve">Лот №2 · Участок купоросов — 6 закладок</w:t>
      </w:r>
    </w:p>
    <w:tbl>
      <w:tblPr>
        <w:tblW w:w="1457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600"/>
        <w:gridCol w:w="1600"/>
        <w:gridCol w:w="4600"/>
        <w:gridCol w:w="2700"/>
        <w:gridCol w:w="3300"/>
        <w:gridCol w:w="1770"/>
      </w:tblGrid>
      <w:tr>
        <w:tc>
          <w:tcPr>
            <w:tcW w:w="600" w:type="dxa"/>
            <w:shd w:val="clear" w:fill="EFEFEF"/>
          </w:tcPr>
          <w:p>
            <w:r>
              <w:rPr>
                <w:b/>
                <w:sz w:val="17"/>
              </w:rPr>
              <w:t xml:space="preserve">№</w:t>
            </w:r>
          </w:p>
        </w:tc>
        <w:tc>
          <w:tcPr>
            <w:tcW w:w="1600" w:type="dxa"/>
            <w:shd w:val="clear" w:fill="EFEFEF"/>
          </w:tcPr>
          <w:p>
            <w:r>
              <w:rPr>
                <w:b/>
                <w:sz w:val="17"/>
              </w:rPr>
              <w:t xml:space="preserve">Узел</w:t>
            </w:r>
          </w:p>
        </w:tc>
        <w:tc>
          <w:tcPr>
            <w:tcW w:w="4600" w:type="dxa"/>
            <w:shd w:val="clear" w:fill="EFEFEF"/>
          </w:tcPr>
          <w:p>
            <w:r>
              <w:rPr>
                <w:b/>
                <w:sz w:val="17"/>
              </w:rPr>
              <w:t xml:space="preserve">Требование (закладка в базовый состав)</w:t>
            </w:r>
          </w:p>
        </w:tc>
        <w:tc>
          <w:tcPr>
            <w:tcW w:w="2700" w:type="dxa"/>
            <w:shd w:val="clear" w:fill="EFEFEF"/>
          </w:tcPr>
          <w:p>
            <w:r>
              <w:rPr>
                <w:b/>
                <w:sz w:val="17"/>
              </w:rPr>
              <w:t xml:space="preserve">Куда внесено</w:t>
            </w:r>
          </w:p>
        </w:tc>
        <w:tc>
          <w:tcPr>
            <w:tcW w:w="3300" w:type="dxa"/>
            <w:shd w:val="clear" w:fill="EFEFEF"/>
          </w:tcPr>
          <w:p>
            <w:r>
              <w:rPr>
                <w:b/>
                <w:sz w:val="17"/>
              </w:rPr>
              <w:t xml:space="preserve">Обоснование</w:t>
            </w:r>
          </w:p>
        </w:tc>
        <w:tc>
          <w:tcPr>
            <w:tcW w:w="1770" w:type="dxa"/>
            <w:shd w:val="clear" w:fill="EFEFEF"/>
          </w:tcPr>
          <w:p>
            <w:r>
              <w:rPr>
                <w:b/>
                <w:sz w:val="17"/>
              </w:rPr>
              <w:t xml:space="preserve">Источник</w:t>
            </w:r>
          </w:p>
        </w:tc>
      </w:tr>
      <w:tr>
        <w:tc>
          <w:tcPr>
            <w:tcW w:w="600" w:type="dxa"/>
          </w:tcPr>
          <w:p>
            <w:r>
              <w:rPr>
                <w:b/>
                <w:sz w:val="17"/>
              </w:rPr>
              <w:t xml:space="preserve">Z-12</w:t>
            </w:r>
          </w:p>
        </w:tc>
        <w:tc>
          <w:tcPr>
            <w:tcW w:w="1600" w:type="dxa"/>
          </w:tcPr>
          <w:p>
            <w:r>
              <w:rPr>
                <w:b/>
                <w:sz w:val="17"/>
              </w:rPr>
              <w:t xml:space="preserve">Выпарка, кристаллизация</w:t>
            </w:r>
          </w:p>
          <w:p>
            <w:r>
              <w:rPr>
                <w:color w:val="444444"/>
                <w:sz w:val="16"/>
              </w:rPr>
              <w:t xml:space="preserve">Байпасы плотномеров и раздельные расходомеры пара</w:t>
            </w:r>
          </w:p>
        </w:tc>
        <w:tc>
          <w:tcPr>
            <w:tcW w:w="4600" w:type="dxa"/>
          </w:tcPr>
          <w:p>
            <w:r>
              <w:rPr>
                <w:sz w:val="17"/>
              </w:rPr>
              <w:t xml:space="preserve">Байпасные линии под поточные плотномеры в P&amp;ID обеих ниток; раздельные расходомеры греющего пара по ступеням; расчётный блок пересыщения в ТЗ на прикладное ПО; резервные гильзы температур по высоте аппарата; снятие кривых растворимости и ширины метастабильной зоны — в программе ПНР.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— P&amp;ID Лота №2</w:t>
            </w:r>
          </w:p>
          <w:p>
            <w:r>
              <w:rPr>
                <w:sz w:val="16"/>
              </w:rPr>
              <w:t xml:space="preserve">— перечень линий</w:t>
            </w:r>
          </w:p>
          <w:p>
            <w:r>
              <w:rPr>
                <w:sz w:val="16"/>
              </w:rPr>
              <w:t xml:space="preserve">— ТЗ на прикладное ПО</w:t>
            </w:r>
          </w:p>
          <w:p>
            <w:r>
              <w:rPr>
                <w:sz w:val="16"/>
              </w:rPr>
              <w:t xml:space="preserve">— ОЛ испарителей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Детерминированное регулирование по пересыщению стабилизирует метастабильную зону кристаллизации — крупность кристаллов и влажность в гарантийном коридоре; готовность к надстройке прогнозирующего управления.</w:t>
            </w:r>
          </w:p>
        </w:tc>
        <w:tc>
          <w:tcPr>
            <w:tcW w:w="1770" w:type="dxa"/>
          </w:tcPr>
          <w:p>
            <w:r>
              <w:rPr>
                <w:color w:val="666666"/>
                <w:sz w:val="15"/>
              </w:rPr>
              <w:t xml:space="preserve">Реестр идей ред. 2.0, разд. 1 п. 21; разд. 2 п. 7 (подготовка)</w:t>
            </w:r>
          </w:p>
          <w:p>
            <w:r>
              <w:rPr>
                <w:b/>
                <w:sz w:val="15"/>
              </w:rPr>
              <w:t xml:space="preserve">внесено в БИ</w:t>
            </w:r>
          </w:p>
        </w:tc>
      </w:tr>
      <w:tr>
        <w:tc>
          <w:tcPr>
            <w:tcW w:w="600" w:type="dxa"/>
          </w:tcPr>
          <w:p>
            <w:r>
              <w:rPr>
                <w:b/>
                <w:sz w:val="17"/>
              </w:rPr>
              <w:t xml:space="preserve">Z-13</w:t>
            </w:r>
          </w:p>
        </w:tc>
        <w:tc>
          <w:tcPr>
            <w:tcW w:w="1600" w:type="dxa"/>
          </w:tcPr>
          <w:p>
            <w:r>
              <w:rPr>
                <w:b/>
                <w:sz w:val="17"/>
              </w:rPr>
              <w:t xml:space="preserve">Подогреватели</w:t>
            </w:r>
          </w:p>
          <w:p>
            <w:r>
              <w:rPr>
                <w:color w:val="444444"/>
                <w:sz w:val="16"/>
              </w:rPr>
              <w:t xml:space="preserve">Термосопротивления и расходомеры подогревателей</w:t>
            </w:r>
          </w:p>
        </w:tc>
        <w:tc>
          <w:tcPr>
            <w:tcW w:w="4600" w:type="dxa"/>
          </w:tcPr>
          <w:p>
            <w:r>
              <w:rPr>
                <w:sz w:val="17"/>
              </w:rPr>
              <w:t xml:space="preserve">Пары термосопротивлений на входе и выходе и индивидуальные расходомеры пара каждого подогревателя — в перечень линий; расчётный блок коэффициента теплопередачи в ТЗ на прикладное ПО; пороги чистки — в технологический регламент; фиксация коэффициента чистых поверхностей на ПНР как базы гарантийных сравнений.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— перечень линий</w:t>
            </w:r>
          </w:p>
          <w:p>
            <w:r>
              <w:rPr>
                <w:sz w:val="16"/>
              </w:rPr>
              <w:t xml:space="preserve">— спецификация КИП</w:t>
            </w:r>
          </w:p>
          <w:p>
            <w:r>
              <w:rPr>
                <w:sz w:val="16"/>
              </w:rPr>
              <w:t xml:space="preserve">— ТЗ на прикладное ПО</w:t>
            </w:r>
          </w:p>
          <w:p>
            <w:r>
              <w:rPr>
                <w:sz w:val="16"/>
              </w:rPr>
              <w:t xml:space="preserve">— технологический регламент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Чистка по состоянию вместо календарной: зарастание видно по тренду коэффициента теплопередачи, а не по падению производительности нитки.</w:t>
            </w:r>
          </w:p>
        </w:tc>
        <w:tc>
          <w:tcPr>
            <w:tcW w:w="1770" w:type="dxa"/>
          </w:tcPr>
          <w:p>
            <w:r>
              <w:rPr>
                <w:color w:val="666666"/>
                <w:sz w:val="15"/>
              </w:rPr>
              <w:t xml:space="preserve">Реестр идей ред. 2.0, разд. 1 п. 22</w:t>
            </w:r>
          </w:p>
          <w:p>
            <w:r>
              <w:rPr>
                <w:b/>
                <w:sz w:val="15"/>
              </w:rPr>
              <w:t xml:space="preserve">внесено в БИ</w:t>
            </w:r>
          </w:p>
        </w:tc>
      </w:tr>
      <w:tr>
        <w:tc>
          <w:tcPr>
            <w:tcW w:w="600" w:type="dxa"/>
          </w:tcPr>
          <w:p>
            <w:r>
              <w:rPr>
                <w:b/>
                <w:sz w:val="17"/>
              </w:rPr>
              <w:t xml:space="preserve">Z-14</w:t>
            </w:r>
          </w:p>
        </w:tc>
        <w:tc>
          <w:tcPr>
            <w:tcW w:w="1600" w:type="dxa"/>
          </w:tcPr>
          <w:p>
            <w:r>
              <w:rPr>
                <w:b/>
                <w:sz w:val="17"/>
              </w:rPr>
              <w:t xml:space="preserve">Кристаллизация</w:t>
            </w:r>
          </w:p>
          <w:p>
            <w:r>
              <w:rPr>
                <w:color w:val="444444"/>
                <w:sz w:val="16"/>
              </w:rPr>
              <w:t xml:space="preserve">Петли под поточную гранулометрию</w:t>
            </w:r>
          </w:p>
        </w:tc>
        <w:tc>
          <w:tcPr>
            <w:tcW w:w="4600" w:type="dxa"/>
          </w:tcPr>
          <w:p>
            <w:r>
              <w:rPr>
                <w:sz w:val="17"/>
              </w:rPr>
              <w:t xml:space="preserve">Байпасные линии с фланцами и арматурой на обеих ступенях обеих ниток кристаллизации; смотровые штуцеры в ОЛ испарителей; питание и сетевые порты на этажерке под проточную измерительную ячейку.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— P&amp;ID Лота №2</w:t>
            </w:r>
          </w:p>
          <w:p>
            <w:r>
              <w:rPr>
                <w:sz w:val="16"/>
              </w:rPr>
              <w:t xml:space="preserve">— ОЛ испарителей</w:t>
            </w:r>
          </w:p>
          <w:p>
            <w:r>
              <w:rPr>
                <w:sz w:val="16"/>
              </w:rPr>
              <w:t xml:space="preserve">— раздел сетей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Опция поточной гранулометрии подключается конфигурацией без остановки выпарки; крупность кристаллов — прямая защита товарного качества купороса.</w:t>
            </w:r>
          </w:p>
        </w:tc>
        <w:tc>
          <w:tcPr>
            <w:tcW w:w="1770" w:type="dxa"/>
          </w:tcPr>
          <w:p>
            <w:r>
              <w:rPr>
                <w:color w:val="666666"/>
                <w:sz w:val="15"/>
              </w:rPr>
              <w:t xml:space="preserve">Реестр идей ред. 2.0, разд. 2 п. 9 (подготовка в базовом составе)</w:t>
            </w:r>
          </w:p>
          <w:p>
            <w:r>
              <w:rPr>
                <w:b/>
                <w:sz w:val="15"/>
              </w:rPr>
              <w:t xml:space="preserve">внесено в БИ</w:t>
            </w:r>
          </w:p>
        </w:tc>
      </w:tr>
      <w:tr>
        <w:tc>
          <w:tcPr>
            <w:tcW w:w="600" w:type="dxa"/>
          </w:tcPr>
          <w:p>
            <w:r>
              <w:rPr>
                <w:b/>
                <w:sz w:val="17"/>
              </w:rPr>
              <w:t xml:space="preserve">Z-15</w:t>
            </w:r>
          </w:p>
        </w:tc>
        <w:tc>
          <w:tcPr>
            <w:tcW w:w="1600" w:type="dxa"/>
          </w:tcPr>
          <w:p>
            <w:r>
              <w:rPr>
                <w:b/>
                <w:sz w:val="17"/>
              </w:rPr>
              <w:t xml:space="preserve">Замкнутый контур выпарки</w:t>
            </w:r>
          </w:p>
          <w:p>
            <w:r>
              <w:rPr>
                <w:color w:val="444444"/>
                <w:sz w:val="16"/>
              </w:rPr>
              <w:t xml:space="preserve">Регулируемая отсечка и пробоотборные линии</w:t>
            </w:r>
          </w:p>
        </w:tc>
        <w:tc>
          <w:tcPr>
            <w:tcW w:w="4600" w:type="dxa"/>
          </w:tcPr>
          <w:p>
            <w:r>
              <w:rPr>
                <w:sz w:val="17"/>
              </w:rPr>
              <w:t xml:space="preserve">Регулируемый диапазон отсечки — в ОЛ выпарки; полное тегирование потоков замкнутого контура; байпасные пробоотборные линии с площадками под будущий поточный анализатор; влагомер и весы кека — в ОЛ весоизмерения.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— ОЛ выпарки</w:t>
            </w:r>
          </w:p>
          <w:p>
            <w:r>
              <w:rPr>
                <w:sz w:val="16"/>
              </w:rPr>
              <w:t xml:space="preserve">— перечень сигналов</w:t>
            </w:r>
          </w:p>
          <w:p>
            <w:r>
              <w:rPr>
                <w:sz w:val="16"/>
              </w:rPr>
              <w:t xml:space="preserve">— ОЛ весоизмерения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Готовность к прогнозу накопления примесей и оптимальной отсечке на выпарку без врезок в действующий контур.</w:t>
            </w:r>
          </w:p>
        </w:tc>
        <w:tc>
          <w:tcPr>
            <w:tcW w:w="1770" w:type="dxa"/>
          </w:tcPr>
          <w:p>
            <w:r>
              <w:rPr>
                <w:color w:val="666666"/>
                <w:sz w:val="15"/>
              </w:rPr>
              <w:t xml:space="preserve">Реестр идей ред. 2.0, разд. 2 п. 10 (подготовка в базовом составе)</w:t>
            </w:r>
          </w:p>
          <w:p>
            <w:r>
              <w:rPr>
                <w:b/>
                <w:sz w:val="15"/>
              </w:rPr>
              <w:t xml:space="preserve">внесено в БИ</w:t>
            </w:r>
          </w:p>
        </w:tc>
      </w:tr>
      <w:tr>
        <w:tc>
          <w:tcPr>
            <w:tcW w:w="600" w:type="dxa"/>
          </w:tcPr>
          <w:p>
            <w:r>
              <w:rPr>
                <w:b/>
                <w:sz w:val="17"/>
              </w:rPr>
              <w:t xml:space="preserve">Z-16</w:t>
            </w:r>
          </w:p>
        </w:tc>
        <w:tc>
          <w:tcPr>
            <w:tcW w:w="1600" w:type="dxa"/>
          </w:tcPr>
          <w:p>
            <w:r>
              <w:rPr>
                <w:b/>
                <w:sz w:val="17"/>
              </w:rPr>
              <w:t xml:space="preserve">Узел растворения купороса</w:t>
            </w:r>
          </w:p>
          <w:p>
            <w:r>
              <w:rPr>
                <w:color w:val="444444"/>
                <w:sz w:val="16"/>
              </w:rPr>
              <w:t xml:space="preserve">Узел квалифицированного возврата конденсата</w:t>
            </w:r>
          </w:p>
        </w:tc>
        <w:tc>
          <w:tcPr>
            <w:tcW w:w="4600" w:type="dxa"/>
          </w:tcPr>
          <w:p>
            <w:r>
              <w:rPr>
                <w:sz w:val="17"/>
              </w:rPr>
              <w:t xml:space="preserve">Контур автоматической маршрутизации профицита конденсата (4,7 м³/ч) в P&amp;ID: кондуктометр и pH-метр на напорной линии, электромагнитный расходомер, два футерованных клапана и насос; кондиционный поток — на репульпатор и приготовление реагентов, некондиционный — обратно в кислый контур или на нейтрализацию (перевод за 5–10 с); учёт — в интерфейсную карту кислой системы оборотного водоснабжения.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— P&amp;ID Лота №2</w:t>
            </w:r>
          </w:p>
          <w:p>
            <w:r>
              <w:rPr>
                <w:sz w:val="16"/>
              </w:rPr>
              <w:t xml:space="preserve">— перечень линий</w:t>
            </w:r>
          </w:p>
          <w:p>
            <w:r>
              <w:rPr>
                <w:sz w:val="16"/>
              </w:rPr>
              <w:t xml:space="preserve">— интерфейсная карта СОВ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Замещение до 39 тыс. м³/год свежей производственной воды (около половины потребления комплекса) и инструментально подтверждённый нулевой сброс.</w:t>
            </w:r>
          </w:p>
        </w:tc>
        <w:tc>
          <w:tcPr>
            <w:tcW w:w="1770" w:type="dxa"/>
          </w:tcPr>
          <w:p>
            <w:r>
              <w:rPr>
                <w:color w:val="666666"/>
                <w:sz w:val="15"/>
              </w:rPr>
              <w:t xml:space="preserve">Реестр идей ред. 2.0, разд. 1 п. 24</w:t>
            </w:r>
          </w:p>
          <w:p>
            <w:r>
              <w:rPr>
                <w:b/>
                <w:sz w:val="15"/>
              </w:rPr>
              <w:t xml:space="preserve">внесено в БИ</w:t>
            </w:r>
          </w:p>
        </w:tc>
      </w:tr>
      <w:tr>
        <w:tc>
          <w:tcPr>
            <w:tcW w:w="600" w:type="dxa"/>
          </w:tcPr>
          <w:p>
            <w:r>
              <w:rPr>
                <w:b/>
                <w:sz w:val="17"/>
              </w:rPr>
              <w:t xml:space="preserve">Z-17</w:t>
            </w:r>
          </w:p>
        </w:tc>
        <w:tc>
          <w:tcPr>
            <w:tcW w:w="1600" w:type="dxa"/>
          </w:tcPr>
          <w:p>
            <w:r>
              <w:rPr>
                <w:b/>
                <w:sz w:val="17"/>
              </w:rPr>
              <w:t xml:space="preserve">Фасовка купороса</w:t>
            </w:r>
          </w:p>
          <w:p>
            <w:r>
              <w:rPr>
                <w:color w:val="444444"/>
                <w:sz w:val="16"/>
              </w:rPr>
              <w:t xml:space="preserve">Автоматическая станция фасовки с паспортом партии</w:t>
            </w:r>
          </w:p>
        </w:tc>
        <w:tc>
          <w:tcPr>
            <w:tcW w:w="4600" w:type="dxa"/>
          </w:tcPr>
          <w:p>
            <w:r>
              <w:rPr>
                <w:sz w:val="17"/>
              </w:rPr>
              <w:t xml:space="preserve">Требования ОЛ подняты до автоматической станции: подача и герметичный обжим горловины, дозирование, виброуплотнение, завязка, отвод конвейером без постоянного присутствия людей; электронный паспорт каждого контейнера (≈19 в сутки): масса коммерческого учёта, влажность по СВЧ-влагомеру, автоматический пробоотбор, QR-этикетка; блокировка отгрузки несоответствующего контейнера; строительное задание (фундамент весов, зона накопления, проезд погрузчика). Позиция длительного цикла — 8–12 мес.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— ОЛ станции фасовки</w:t>
            </w:r>
          </w:p>
          <w:p>
            <w:r>
              <w:rPr>
                <w:sz w:val="16"/>
              </w:rPr>
              <w:t xml:space="preserve">— строительное задание</w:t>
            </w:r>
          </w:p>
          <w:p>
            <w:r>
              <w:rPr>
                <w:sz w:val="16"/>
              </w:rPr>
              <w:t xml:space="preserve">— перечень длинноцикловых позиций</w:t>
            </w:r>
          </w:p>
          <w:p>
            <w:r>
              <w:rPr>
                <w:sz w:val="16"/>
              </w:rPr>
              <w:t xml:space="preserve">— задание на лабораторную систему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Минус один-два явочных работника в зоне канцерогена (аэрозоли солей никеля, ПДК 0,005 мг/м³), снижение класса условий труда, закрытие рисков претензий получателя.</w:t>
            </w:r>
          </w:p>
        </w:tc>
        <w:tc>
          <w:tcPr>
            <w:tcW w:w="1770" w:type="dxa"/>
          </w:tcPr>
          <w:p>
            <w:r>
              <w:rPr>
                <w:color w:val="666666"/>
                <w:sz w:val="15"/>
              </w:rPr>
              <w:t xml:space="preserve">Реестр идей ред. 2.0, разд. 1 п. 23</w:t>
            </w:r>
          </w:p>
          <w:p>
            <w:r>
              <w:rPr>
                <w:b/>
                <w:sz w:val="15"/>
              </w:rPr>
              <w:t xml:space="preserve">внесено в БИ</w:t>
            </w:r>
          </w:p>
        </w:tc>
      </w:tr>
    </w:tbl>
    <w:p>
      <w:pPr>
        <w:pStyle w:val="Heading2"/>
      </w:pPr>
      <w:r>
        <w:t xml:space="preserve">Лот №3 · Электроэкстракция — 9 закладок</w:t>
      </w:r>
    </w:p>
    <w:tbl>
      <w:tblPr>
        <w:tblW w:w="1457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600"/>
        <w:gridCol w:w="1600"/>
        <w:gridCol w:w="4600"/>
        <w:gridCol w:w="2700"/>
        <w:gridCol w:w="3300"/>
        <w:gridCol w:w="1770"/>
      </w:tblGrid>
      <w:tr>
        <w:tc>
          <w:tcPr>
            <w:tcW w:w="600" w:type="dxa"/>
            <w:shd w:val="clear" w:fill="EFEFEF"/>
          </w:tcPr>
          <w:p>
            <w:r>
              <w:rPr>
                <w:b/>
                <w:sz w:val="17"/>
              </w:rPr>
              <w:t xml:space="preserve">№</w:t>
            </w:r>
          </w:p>
        </w:tc>
        <w:tc>
          <w:tcPr>
            <w:tcW w:w="1600" w:type="dxa"/>
            <w:shd w:val="clear" w:fill="EFEFEF"/>
          </w:tcPr>
          <w:p>
            <w:r>
              <w:rPr>
                <w:b/>
                <w:sz w:val="17"/>
              </w:rPr>
              <w:t xml:space="preserve">Узел</w:t>
            </w:r>
          </w:p>
        </w:tc>
        <w:tc>
          <w:tcPr>
            <w:tcW w:w="4600" w:type="dxa"/>
            <w:shd w:val="clear" w:fill="EFEFEF"/>
          </w:tcPr>
          <w:p>
            <w:r>
              <w:rPr>
                <w:b/>
                <w:sz w:val="17"/>
              </w:rPr>
              <w:t xml:space="preserve">Требование (закладка в базовый состав)</w:t>
            </w:r>
          </w:p>
        </w:tc>
        <w:tc>
          <w:tcPr>
            <w:tcW w:w="2700" w:type="dxa"/>
            <w:shd w:val="clear" w:fill="EFEFEF"/>
          </w:tcPr>
          <w:p>
            <w:r>
              <w:rPr>
                <w:b/>
                <w:sz w:val="17"/>
              </w:rPr>
              <w:t xml:space="preserve">Куда внесено</w:t>
            </w:r>
          </w:p>
        </w:tc>
        <w:tc>
          <w:tcPr>
            <w:tcW w:w="3300" w:type="dxa"/>
            <w:shd w:val="clear" w:fill="EFEFEF"/>
          </w:tcPr>
          <w:p>
            <w:r>
              <w:rPr>
                <w:b/>
                <w:sz w:val="17"/>
              </w:rPr>
              <w:t xml:space="preserve">Обоснование</w:t>
            </w:r>
          </w:p>
        </w:tc>
        <w:tc>
          <w:tcPr>
            <w:tcW w:w="1770" w:type="dxa"/>
            <w:shd w:val="clear" w:fill="EFEFEF"/>
          </w:tcPr>
          <w:p>
            <w:r>
              <w:rPr>
                <w:b/>
                <w:sz w:val="17"/>
              </w:rPr>
              <w:t xml:space="preserve">Источник</w:t>
            </w:r>
          </w:p>
        </w:tc>
      </w:tr>
      <w:tr>
        <w:tc>
          <w:tcPr>
            <w:tcW w:w="600" w:type="dxa"/>
          </w:tcPr>
          <w:p>
            <w:r>
              <w:rPr>
                <w:b/>
                <w:sz w:val="17"/>
              </w:rPr>
              <w:t xml:space="preserve">Z-18</w:t>
            </w:r>
          </w:p>
        </w:tc>
        <w:tc>
          <w:tcPr>
            <w:tcW w:w="1600" w:type="dxa"/>
          </w:tcPr>
          <w:p>
            <w:r>
              <w:rPr>
                <w:b/>
                <w:sz w:val="17"/>
              </w:rPr>
              <w:t xml:space="preserve">Серии электролиза</w:t>
            </w:r>
          </w:p>
          <w:p>
            <w:r>
              <w:rPr>
                <w:color w:val="444444"/>
                <w:sz w:val="16"/>
              </w:rPr>
              <w:t xml:space="preserve">Стационарный съём 180 милливольтовых точек (1 Гц)</w:t>
            </w:r>
          </w:p>
        </w:tc>
        <w:tc>
          <w:tcPr>
            <w:tcW w:w="4600" w:type="dxa"/>
          </w:tcPr>
          <w:p>
            <w:r>
              <w:rPr>
                <w:sz w:val="17"/>
              </w:rPr>
              <w:t xml:space="preserve">180 милливольтовых точек по ваннам обеих серий: модули аналогового ввода с гальванической развязкой каналов, опрос с частотой 1 Гц, хранение сырых рядов не менее 3 лет (≈50 ГБ/год); единая синхронизация времени; журнал дозировок; посадочное место и питание I категории под аналитический вычислитель.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— перечень сигналов Лота №3</w:t>
            </w:r>
          </w:p>
          <w:p>
            <w:r>
              <w:rPr>
                <w:sz w:val="16"/>
              </w:rPr>
              <w:t xml:space="preserve">— спецификация серверной</w:t>
            </w:r>
          </w:p>
          <w:p>
            <w:r>
              <w:rPr>
                <w:sz w:val="16"/>
              </w:rPr>
              <w:t xml:space="preserve">— ТЗ на АСУТП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Данные для советчика выхода по току и ранней диагностики коротких замыканий копятся с первого дня — надстройка подключается без врезок и остановок серии.</w:t>
            </w:r>
          </w:p>
        </w:tc>
        <w:tc>
          <w:tcPr>
            <w:tcW w:w="1770" w:type="dxa"/>
          </w:tcPr>
          <w:p>
            <w:r>
              <w:rPr>
                <w:color w:val="666666"/>
                <w:sz w:val="15"/>
              </w:rPr>
              <w:t xml:space="preserve">Реестр идей ред. 2.0, разд. 2 п. 1 (подготовка в базовом составе)</w:t>
            </w:r>
          </w:p>
          <w:p>
            <w:r>
              <w:rPr>
                <w:b/>
                <w:sz w:val="15"/>
              </w:rPr>
              <w:t xml:space="preserve">внесено в БИ</w:t>
            </w:r>
          </w:p>
        </w:tc>
      </w:tr>
      <w:tr>
        <w:tc>
          <w:tcPr>
            <w:tcW w:w="600" w:type="dxa"/>
          </w:tcPr>
          <w:p>
            <w:r>
              <w:rPr>
                <w:b/>
                <w:sz w:val="17"/>
              </w:rPr>
              <w:t xml:space="preserve">Z-19</w:t>
            </w:r>
          </w:p>
        </w:tc>
        <w:tc>
          <w:tcPr>
            <w:tcW w:w="1600" w:type="dxa"/>
          </w:tcPr>
          <w:p>
            <w:r>
              <w:rPr>
                <w:b/>
                <w:sz w:val="17"/>
              </w:rPr>
              <w:t xml:space="preserve">Краны ванного зала</w:t>
            </w:r>
          </w:p>
          <w:p>
            <w:r>
              <w:rPr>
                <w:color w:val="444444"/>
                <w:sz w:val="16"/>
              </w:rPr>
              <w:t xml:space="preserve">Закладные на кранах: ИК-пост, балка, дискреты зон</w:t>
            </w:r>
          </w:p>
        </w:tc>
        <w:tc>
          <w:tcPr>
            <w:tcW w:w="4600" w:type="dxa"/>
          </w:tcPr>
          <w:p>
            <w:r>
              <w:rPr>
                <w:sz w:val="17"/>
              </w:rPr>
              <w:t xml:space="preserve">В ОЛ кранов: закладная площадка, питание и канал связи на мосту под инфракрасный пост контроля коротких замыканий с привязкой к паре электродов; конструктивный резерв под измерительную токовую балку (масса, питание, канал с тележки); дискретные входы зонных блокировок; интерфейс «карта коротких замыканий» — в перечне сигналов; кабельные короба вдоль рядов.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— ОЛ кранов</w:t>
            </w:r>
          </w:p>
          <w:p>
            <w:r>
              <w:rPr>
                <w:sz w:val="16"/>
              </w:rPr>
              <w:t xml:space="preserve">— перечень сигналов</w:t>
            </w:r>
          </w:p>
          <w:p>
            <w:r>
              <w:rPr>
                <w:sz w:val="16"/>
              </w:rPr>
              <w:t xml:space="preserve">— задание на прикладные функции АСУ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ИК-контроль и токовая карта серии реализуются без доработки крана после поставки; доработка крана в эксплуатации требует остановок зала и повторных испытаний ПС.</w:t>
            </w:r>
          </w:p>
        </w:tc>
        <w:tc>
          <w:tcPr>
            <w:tcW w:w="1770" w:type="dxa"/>
          </w:tcPr>
          <w:p>
            <w:r>
              <w:rPr>
                <w:color w:val="666666"/>
                <w:sz w:val="15"/>
              </w:rPr>
              <w:t xml:space="preserve">Реестр идей ред. 2.0, разд. 1 пп. 15, 17; разд. 2 п. 8 (подготовка)</w:t>
            </w:r>
          </w:p>
          <w:p>
            <w:r>
              <w:rPr>
                <w:b/>
                <w:sz w:val="15"/>
              </w:rPr>
              <w:t xml:space="preserve">внесено в БИ</w:t>
            </w:r>
          </w:p>
        </w:tc>
      </w:tr>
      <w:tr>
        <w:tc>
          <w:tcPr>
            <w:tcW w:w="600" w:type="dxa"/>
          </w:tcPr>
          <w:p>
            <w:r>
              <w:rPr>
                <w:b/>
                <w:sz w:val="17"/>
              </w:rPr>
              <w:t xml:space="preserve">Z-20</w:t>
            </w:r>
          </w:p>
        </w:tc>
        <w:tc>
          <w:tcPr>
            <w:tcW w:w="1600" w:type="dxa"/>
          </w:tcPr>
          <w:p>
            <w:r>
              <w:rPr>
                <w:b/>
                <w:sz w:val="17"/>
              </w:rPr>
              <w:t xml:space="preserve">Катодосдирочная машина</w:t>
            </w:r>
          </w:p>
          <w:p>
            <w:r>
              <w:rPr>
                <w:color w:val="444444"/>
                <w:sz w:val="16"/>
              </w:rPr>
              <w:t xml:space="preserve">Посты машинного зрения и идентификация матриц в ОЛ КСМ</w:t>
            </w:r>
          </w:p>
        </w:tc>
        <w:tc>
          <w:tcPr>
            <w:tcW w:w="4600" w:type="dxa"/>
          </w:tcPr>
          <w:p>
            <w:r>
              <w:rPr>
                <w:sz w:val="17"/>
              </w:rPr>
              <w:t xml:space="preserve">В ОЛ катодосдирочной машины: два инспекционных поста (камеры с бестеневой подсветкой после промывки и на укладке); детерминированная пороговая классификация дефектов с автоматической отбраковкой листа до формирования пакета; передача кодов дефектов с привязкой лист — матрица — ванна по очереди выгрузки; закладные, питание и резерв 2 м выходного конвейера под отдельный пост; поле «код дефекта листа/пакета» в межлотовом протоколе.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— ОЛ КСМ</w:t>
            </w:r>
          </w:p>
          <w:p>
            <w:r>
              <w:rPr>
                <w:sz w:val="16"/>
              </w:rPr>
              <w:t xml:space="preserve">— перечень сигналов</w:t>
            </w:r>
          </w:p>
          <w:p>
            <w:r>
              <w:rPr>
                <w:sz w:val="16"/>
              </w:rPr>
              <w:t xml:space="preserve">— межлотовый протокол Лот №3 — Лот №4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Стопроцентный контроль сортности при такте 120 листов/ч; локализация ванн с дендритами за 1–2 цикла; исключение пересортицы М00к (0,5 % выпуска — 350 т/год с дисконтом); высвобождение двух контролёров в смену (8–10 млн ₽/год).</w:t>
            </w:r>
          </w:p>
        </w:tc>
        <w:tc>
          <w:tcPr>
            <w:tcW w:w="1770" w:type="dxa"/>
          </w:tcPr>
          <w:p>
            <w:r>
              <w:rPr>
                <w:color w:val="666666"/>
                <w:sz w:val="15"/>
              </w:rPr>
              <w:t xml:space="preserve">Реестр идей ред. 2.0, разд. 1 п. 12</w:t>
            </w:r>
          </w:p>
          <w:p>
            <w:r>
              <w:rPr>
                <w:b/>
                <w:sz w:val="15"/>
              </w:rPr>
              <w:t xml:space="preserve">внесено в БИ</w:t>
            </w:r>
          </w:p>
        </w:tc>
      </w:tr>
      <w:tr>
        <w:tc>
          <w:tcPr>
            <w:tcW w:w="600" w:type="dxa"/>
          </w:tcPr>
          <w:p>
            <w:r>
              <w:rPr>
                <w:b/>
                <w:sz w:val="17"/>
              </w:rPr>
              <w:t xml:space="preserve">Z-21</w:t>
            </w:r>
          </w:p>
        </w:tc>
        <w:tc>
          <w:tcPr>
            <w:tcW w:w="1600" w:type="dxa"/>
          </w:tcPr>
          <w:p>
            <w:r>
              <w:rPr>
                <w:b/>
                <w:sz w:val="17"/>
              </w:rPr>
              <w:t xml:space="preserve">Электролит</w:t>
            </w:r>
          </w:p>
          <w:p>
            <w:r>
              <w:rPr>
                <w:color w:val="444444"/>
                <w:sz w:val="16"/>
              </w:rPr>
              <w:t xml:space="preserve">Анализаторные помещения и петли DN25</w:t>
            </w:r>
          </w:p>
        </w:tc>
        <w:tc>
          <w:tcPr>
            <w:tcW w:w="4600" w:type="dxa"/>
          </w:tcPr>
          <w:p>
            <w:r>
              <w:rPr>
                <w:sz w:val="17"/>
              </w:rPr>
              <w:t xml:space="preserve">Помещение анализаторной у циркуляционных баков — в компоновке; байпасные петли DN25 (футерованное исполнение, электрообогрев) от трёх точек — богатый фильтрат на межцеховой границе и питание каждой из двух серий — с термостатированной пробоподготовкой и самотёчным возвратом пробы; контуры анализа (медь, серная кислота, хлор, железо) с уставками; позиция в перечне длинноциклового оборудования.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— компоновка Лота №3</w:t>
            </w:r>
          </w:p>
          <w:p>
            <w:r>
              <w:rPr>
                <w:sz w:val="16"/>
              </w:rPr>
              <w:t xml:space="preserve">— ОЛ поточных анализаторов</w:t>
            </w:r>
          </w:p>
          <w:p>
            <w:r>
              <w:rPr>
                <w:sz w:val="16"/>
              </w:rPr>
              <w:t xml:space="preserve">— перечень длинноцикловых позиций</w:t>
            </w:r>
          </w:p>
          <w:p>
            <w:r>
              <w:rPr>
                <w:sz w:val="16"/>
              </w:rPr>
              <w:t xml:space="preserve">— перечень сигналов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Поточная химия электролита с лабораторным арбитражем межцеховой границы: коррекция дозирования и защита катода от примесей между лабораторными циклами.</w:t>
            </w:r>
          </w:p>
        </w:tc>
        <w:tc>
          <w:tcPr>
            <w:tcW w:w="1770" w:type="dxa"/>
          </w:tcPr>
          <w:p>
            <w:r>
              <w:rPr>
                <w:color w:val="666666"/>
                <w:sz w:val="15"/>
              </w:rPr>
              <w:t xml:space="preserve">Реестр идей ред. 2.0, разд. 1 п. 14</w:t>
            </w:r>
          </w:p>
          <w:p>
            <w:r>
              <w:rPr>
                <w:b/>
                <w:sz w:val="15"/>
              </w:rPr>
              <w:t xml:space="preserve">внесено в БИ</w:t>
            </w:r>
          </w:p>
        </w:tc>
      </w:tr>
      <w:tr>
        <w:tc>
          <w:tcPr>
            <w:tcW w:w="600" w:type="dxa"/>
          </w:tcPr>
          <w:p>
            <w:r>
              <w:rPr>
                <w:b/>
                <w:sz w:val="17"/>
              </w:rPr>
              <w:t xml:space="preserve">Z-22</w:t>
            </w:r>
          </w:p>
        </w:tc>
        <w:tc>
          <w:tcPr>
            <w:tcW w:w="1600" w:type="dxa"/>
          </w:tcPr>
          <w:p>
            <w:r>
              <w:rPr>
                <w:b/>
                <w:sz w:val="17"/>
              </w:rPr>
              <w:t xml:space="preserve">Выпрямительные агрегаты</w:t>
            </w:r>
          </w:p>
          <w:p>
            <w:r>
              <w:rPr>
                <w:color w:val="444444"/>
                <w:sz w:val="16"/>
              </w:rPr>
              <w:t xml:space="preserve">Задание на стык выпрямителей: уставка, поддерживающий ток, шунты, счётчики</w:t>
            </w:r>
          </w:p>
        </w:tc>
        <w:tc>
          <w:tcPr>
            <w:tcW w:w="4600" w:type="dxa"/>
          </w:tcPr>
          <w:p>
            <w:r>
              <w:rPr>
                <w:sz w:val="17"/>
              </w:rPr>
              <w:t xml:space="preserve">В задание на выпрямительные агрегаты: гарантийный КПД тракта не ниже 0,975–0,98 в рабочей точке 42,45 кА с методикой приёмочных измерений и кривыми КПД в диапазоне 30–47 кА; дистанционная плавная уставка тока 20–100 % с ограничителем градиента; режим поддерживающего тока 5–10 % номинала; шунты постоянного тока класса 0,2 и счётчики переменного тока класса 0,5S комплектно; телеметрия температур тиристоров и трансформаторов; карта допустимых токовых пауз — запросом в ОЛ поставщика анодов.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— задание на выпрямительные агрегаты</w:t>
            </w:r>
          </w:p>
          <w:p>
            <w:r>
              <w:rPr>
                <w:sz w:val="16"/>
              </w:rPr>
              <w:t xml:space="preserve">— ОЛ поставщика анодов</w:t>
            </w:r>
          </w:p>
          <w:p>
            <w:r>
              <w:rPr>
                <w:sz w:val="16"/>
              </w:rPr>
              <w:t xml:space="preserve">— перечень сигналов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Минус 20–30 кВт·ч/т на крупнейшей статье энергопотребления (1,4–2,1 ГВт·ч/год, 6–9 млн ₽/год); перевод серии на резерв за 5–15 минут вместо часов; дооснащение измерениями после пуска многократно дороже закладки в заказ.</w:t>
            </w:r>
          </w:p>
        </w:tc>
        <w:tc>
          <w:tcPr>
            <w:tcW w:w="1770" w:type="dxa"/>
          </w:tcPr>
          <w:p>
            <w:r>
              <w:rPr>
                <w:color w:val="666666"/>
                <w:sz w:val="15"/>
              </w:rPr>
              <w:t xml:space="preserve">Реестр идей ред. 2.0, разд. 1 пп. 27, 29, 30; разд. 2 пп. 4–5 (подготовка)</w:t>
            </w:r>
          </w:p>
          <w:p>
            <w:r>
              <w:rPr>
                <w:b/>
                <w:sz w:val="15"/>
              </w:rPr>
              <w:t xml:space="preserve">внесено в БИ</w:t>
            </w:r>
          </w:p>
        </w:tc>
      </w:tr>
      <w:tr>
        <w:tc>
          <w:tcPr>
            <w:tcW w:w="600" w:type="dxa"/>
          </w:tcPr>
          <w:p>
            <w:r>
              <w:rPr>
                <w:b/>
                <w:sz w:val="17"/>
              </w:rPr>
              <w:t xml:space="preserve">Z-23</w:t>
            </w:r>
          </w:p>
        </w:tc>
        <w:tc>
          <w:tcPr>
            <w:tcW w:w="1600" w:type="dxa"/>
          </w:tcPr>
          <w:p>
            <w:r>
              <w:rPr>
                <w:b/>
                <w:sz w:val="17"/>
              </w:rPr>
              <w:t xml:space="preserve">Узел выпрямления</w:t>
            </w:r>
          </w:p>
          <w:p>
            <w:r>
              <w:rPr>
                <w:color w:val="444444"/>
                <w:sz w:val="16"/>
              </w:rPr>
              <w:t xml:space="preserve">Регистратор ПКЭ, ФКУ и векторные группы</w:t>
            </w:r>
          </w:p>
        </w:tc>
        <w:tc>
          <w:tcPr>
            <w:tcW w:w="4600" w:type="dxa"/>
          </w:tcPr>
          <w:p>
            <w:r>
              <w:rPr>
                <w:sz w:val="17"/>
              </w:rPr>
              <w:t xml:space="preserve">Гармонический расчёт узла с моделью выпрямителей; пункты задания: пульсность, сдвиг векторных групп преобразовательных трансформаторов (квазидвадцатичетырёхпульсная схема), гарантия вклада в коэффициент гармоник; ячейки и фундаменты под фильтрокомпенсирующие устройства — в однолинейной схеме; стационарный регистратор качества электроэнергии класса A на границе балансовой принадлежности; семисуточный приёмочный замер — в программе ПНР.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— однолинейные схемы</w:t>
            </w:r>
          </w:p>
          <w:p>
            <w:r>
              <w:rPr>
                <w:sz w:val="16"/>
              </w:rPr>
              <w:t xml:space="preserve">— задание на выпрямители</w:t>
            </w:r>
          </w:p>
          <w:p>
            <w:r>
              <w:rPr>
                <w:sz w:val="16"/>
              </w:rPr>
              <w:t xml:space="preserve">— спецификация РУ</w:t>
            </w:r>
          </w:p>
          <w:p>
            <w:r>
              <w:rPr>
                <w:sz w:val="16"/>
              </w:rPr>
              <w:t xml:space="preserve">— программа ПНР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Качество электроэнергии по ГОСТ 32144 и пульсации выпрямленного тока в коридоре 1–3 % обеспечиваются без последующей реконструкции распределительного устройства.</w:t>
            </w:r>
          </w:p>
        </w:tc>
        <w:tc>
          <w:tcPr>
            <w:tcW w:w="1770" w:type="dxa"/>
          </w:tcPr>
          <w:p>
            <w:r>
              <w:rPr>
                <w:color w:val="666666"/>
                <w:sz w:val="15"/>
              </w:rPr>
              <w:t xml:space="preserve">Реестр идей ред. 2.0, разд. 1 пп. 28, 30</w:t>
            </w:r>
          </w:p>
          <w:p>
            <w:r>
              <w:rPr>
                <w:b/>
                <w:sz w:val="15"/>
              </w:rPr>
              <w:t xml:space="preserve">внесено в БИ</w:t>
            </w:r>
          </w:p>
        </w:tc>
      </w:tr>
      <w:tr>
        <w:tc>
          <w:tcPr>
            <w:tcW w:w="600" w:type="dxa"/>
          </w:tcPr>
          <w:p>
            <w:r>
              <w:rPr>
                <w:b/>
                <w:sz w:val="17"/>
              </w:rPr>
              <w:t xml:space="preserve">Z-24</w:t>
            </w:r>
          </w:p>
        </w:tc>
        <w:tc>
          <w:tcPr>
            <w:tcW w:w="1600" w:type="dxa"/>
          </w:tcPr>
          <w:p>
            <w:r>
              <w:rPr>
                <w:b/>
                <w:sz w:val="17"/>
              </w:rPr>
              <w:t xml:space="preserve">Сеть постоянного тока</w:t>
            </w:r>
          </w:p>
          <w:p>
            <w:r>
              <w:rPr>
                <w:color w:val="444444"/>
                <w:sz w:val="16"/>
              </w:rPr>
              <w:t xml:space="preserve">Контроль изоляции с локализацией, клеммы и перемычки</w:t>
            </w:r>
          </w:p>
        </w:tc>
        <w:tc>
          <w:tcPr>
            <w:tcW w:w="4600" w:type="dxa"/>
          </w:tcPr>
          <w:p>
            <w:r>
              <w:rPr>
                <w:sz w:val="17"/>
              </w:rPr>
              <w:t xml:space="preserve">Схема контроля изоляции обеих серий с локализацией утечек по секциям; 20–30 сигналов в перечень ввода-вывода; конструктивные требования к испытательным клеммам и перемычкам — в комплекте ванн и обвязки; снятие базовых значений сопротивления изоляции чистого зала и тарировка локализации — на ПНР.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— комплект ванн (ОЛ)</w:t>
            </w:r>
          </w:p>
          <w:p>
            <w:r>
              <w:rPr>
                <w:sz w:val="16"/>
              </w:rPr>
              <w:t xml:space="preserve">— перечень сигналов</w:t>
            </w:r>
          </w:p>
          <w:p>
            <w:r>
              <w:rPr>
                <w:sz w:val="16"/>
              </w:rPr>
              <w:t xml:space="preserve">— схема электроснабжения серий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Выполнение требования разд. 7.10 ПУЭ о контроле изоляции электролизных установок; локализация утечки за часы вместо обхода всего зала.</w:t>
            </w:r>
          </w:p>
        </w:tc>
        <w:tc>
          <w:tcPr>
            <w:tcW w:w="1770" w:type="dxa"/>
          </w:tcPr>
          <w:p>
            <w:r>
              <w:rPr>
                <w:color w:val="666666"/>
                <w:sz w:val="15"/>
              </w:rPr>
              <w:t xml:space="preserve">Реестр идей ред. 2.0, разд. 1 п. 19</w:t>
            </w:r>
          </w:p>
          <w:p>
            <w:r>
              <w:rPr>
                <w:b/>
                <w:sz w:val="15"/>
              </w:rPr>
              <w:t xml:space="preserve">внесено в БИ</w:t>
            </w:r>
          </w:p>
        </w:tc>
      </w:tr>
      <w:tr>
        <w:tc>
          <w:tcPr>
            <w:tcW w:w="600" w:type="dxa"/>
          </w:tcPr>
          <w:p>
            <w:r>
              <w:rPr>
                <w:b/>
                <w:sz w:val="17"/>
              </w:rPr>
              <w:t xml:space="preserve">Z-25</w:t>
            </w:r>
          </w:p>
        </w:tc>
        <w:tc>
          <w:tcPr>
            <w:tcW w:w="1600" w:type="dxa"/>
          </w:tcPr>
          <w:p>
            <w:r>
              <w:rPr>
                <w:b/>
                <w:sz w:val="17"/>
              </w:rPr>
              <w:t xml:space="preserve">Ванный зал</w:t>
            </w:r>
          </w:p>
          <w:p>
            <w:r>
              <w:rPr>
                <w:color w:val="444444"/>
                <w:sz w:val="16"/>
              </w:rPr>
              <w:t xml:space="preserve">СКУД-калитки крановых зон с блокировками</w:t>
            </w:r>
          </w:p>
        </w:tc>
        <w:tc>
          <w:tcPr>
            <w:tcW w:w="4600" w:type="dxa"/>
          </w:tcPr>
          <w:p>
            <w:r>
              <w:rPr>
                <w:sz w:val="17"/>
              </w:rPr>
              <w:t xml:space="preserve">Калитки и барьеры крановых зон — в компоновке; кабельные трассы; дискретные входы состояния калиток — в ОЛ кранов; карта зон — в прикладных функциях АСУ; сценарные испытания блокировок с имитацией входа человека при движущемся кране — в программе ПНР.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— компоновка Лота №3</w:t>
            </w:r>
          </w:p>
          <w:p>
            <w:r>
              <w:rPr>
                <w:sz w:val="16"/>
              </w:rPr>
              <w:t xml:space="preserve">— ОЛ кранов</w:t>
            </w:r>
          </w:p>
          <w:p>
            <w:r>
              <w:rPr>
                <w:sz w:val="16"/>
              </w:rPr>
              <w:t xml:space="preserve">— перечень блокировок</w:t>
            </w:r>
          </w:p>
          <w:p>
            <w:r>
              <w:rPr>
                <w:sz w:val="16"/>
              </w:rPr>
              <w:t xml:space="preserve">— программа ПНР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Совмещение автоматических кранов и людей в одном зале без остановки серии; периодический контроль блокировок обязателен по Прил. №5.</w:t>
            </w:r>
          </w:p>
        </w:tc>
        <w:tc>
          <w:tcPr>
            <w:tcW w:w="1770" w:type="dxa"/>
          </w:tcPr>
          <w:p>
            <w:r>
              <w:rPr>
                <w:color w:val="666666"/>
                <w:sz w:val="15"/>
              </w:rPr>
              <w:t xml:space="preserve">Реестр идей ред. 2.0, разд. 1 п. 17</w:t>
            </w:r>
          </w:p>
          <w:p>
            <w:r>
              <w:rPr>
                <w:b/>
                <w:sz w:val="15"/>
              </w:rPr>
              <w:t xml:space="preserve">внесено в БИ</w:t>
            </w:r>
          </w:p>
        </w:tc>
      </w:tr>
      <w:tr>
        <w:tc>
          <w:tcPr>
            <w:tcW w:w="600" w:type="dxa"/>
          </w:tcPr>
          <w:p>
            <w:r>
              <w:rPr>
                <w:b/>
                <w:sz w:val="17"/>
              </w:rPr>
              <w:t xml:space="preserve">Z-26</w:t>
            </w:r>
          </w:p>
        </w:tc>
        <w:tc>
          <w:tcPr>
            <w:tcW w:w="1600" w:type="dxa"/>
          </w:tcPr>
          <w:p>
            <w:r>
              <w:rPr>
                <w:b/>
                <w:sz w:val="17"/>
              </w:rPr>
              <w:t xml:space="preserve">Реагентное хозяйство</w:t>
            </w:r>
          </w:p>
          <w:p>
            <w:r>
              <w:rPr>
                <w:color w:val="444444"/>
                <w:sz w:val="16"/>
              </w:rPr>
              <w:t xml:space="preserve">Реагентный узел как автоматическая весовая станция</w:t>
            </w:r>
          </w:p>
        </w:tc>
        <w:tc>
          <w:tcPr>
            <w:tcW w:w="4600" w:type="dxa"/>
          </w:tcPr>
          <w:p>
            <w:r>
              <w:rPr>
                <w:sz w:val="17"/>
              </w:rPr>
              <w:t xml:space="preserve">Компоновка автоматического реагентного узла с весовым дозированием добавок пропорционально ампер-часам; локальный шкаф ввода-вывода; датчики аэрозоля; весовые каналы с поверкой; методика испытаний «доза — эффект» — в программе ПНР.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— компоновка Лота №3</w:t>
            </w:r>
          </w:p>
          <w:p>
            <w:r>
              <w:rPr>
                <w:sz w:val="16"/>
              </w:rPr>
              <w:t xml:space="preserve">— спецификация КИП</w:t>
            </w:r>
          </w:p>
          <w:p>
            <w:r>
              <w:rPr>
                <w:sz w:val="16"/>
              </w:rPr>
              <w:t xml:space="preserve">— перечень сигналов</w:t>
            </w:r>
          </w:p>
          <w:p>
            <w:r>
              <w:rPr>
                <w:sz w:val="16"/>
              </w:rPr>
              <w:t xml:space="preserve">— программа ПНР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Нормирование расхода добавок по массе и удержание тумана серной кислоты ниже ПДК 1 мг/м³, подтверждаемое аттестованной методикой.</w:t>
            </w:r>
          </w:p>
        </w:tc>
        <w:tc>
          <w:tcPr>
            <w:tcW w:w="1770" w:type="dxa"/>
          </w:tcPr>
          <w:p>
            <w:r>
              <w:rPr>
                <w:color w:val="666666"/>
                <w:sz w:val="15"/>
              </w:rPr>
              <w:t xml:space="preserve">Реестр идей ред. 2.0, разд. 1 п. 20</w:t>
            </w:r>
          </w:p>
          <w:p>
            <w:r>
              <w:rPr>
                <w:b/>
                <w:sz w:val="15"/>
              </w:rPr>
              <w:t xml:space="preserve">внесено в БИ</w:t>
            </w:r>
          </w:p>
        </w:tc>
      </w:tr>
    </w:tbl>
    <w:p>
      <w:pPr>
        <w:pStyle w:val="Heading2"/>
      </w:pPr>
      <w:r>
        <w:t xml:space="preserve">Лот №4 · Склад готовой продукции — 4 закладок</w:t>
      </w:r>
    </w:p>
    <w:tbl>
      <w:tblPr>
        <w:tblW w:w="1457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600"/>
        <w:gridCol w:w="1600"/>
        <w:gridCol w:w="4600"/>
        <w:gridCol w:w="2700"/>
        <w:gridCol w:w="3300"/>
        <w:gridCol w:w="1770"/>
      </w:tblGrid>
      <w:tr>
        <w:tc>
          <w:tcPr>
            <w:tcW w:w="600" w:type="dxa"/>
            <w:shd w:val="clear" w:fill="EFEFEF"/>
          </w:tcPr>
          <w:p>
            <w:r>
              <w:rPr>
                <w:b/>
                <w:sz w:val="17"/>
              </w:rPr>
              <w:t xml:space="preserve">№</w:t>
            </w:r>
          </w:p>
        </w:tc>
        <w:tc>
          <w:tcPr>
            <w:tcW w:w="1600" w:type="dxa"/>
            <w:shd w:val="clear" w:fill="EFEFEF"/>
          </w:tcPr>
          <w:p>
            <w:r>
              <w:rPr>
                <w:b/>
                <w:sz w:val="17"/>
              </w:rPr>
              <w:t xml:space="preserve">Узел</w:t>
            </w:r>
          </w:p>
        </w:tc>
        <w:tc>
          <w:tcPr>
            <w:tcW w:w="4600" w:type="dxa"/>
            <w:shd w:val="clear" w:fill="EFEFEF"/>
          </w:tcPr>
          <w:p>
            <w:r>
              <w:rPr>
                <w:b/>
                <w:sz w:val="17"/>
              </w:rPr>
              <w:t xml:space="preserve">Требование (закладка в базовый состав)</w:t>
            </w:r>
          </w:p>
        </w:tc>
        <w:tc>
          <w:tcPr>
            <w:tcW w:w="2700" w:type="dxa"/>
            <w:shd w:val="clear" w:fill="EFEFEF"/>
          </w:tcPr>
          <w:p>
            <w:r>
              <w:rPr>
                <w:b/>
                <w:sz w:val="17"/>
              </w:rPr>
              <w:t xml:space="preserve">Куда внесено</w:t>
            </w:r>
          </w:p>
        </w:tc>
        <w:tc>
          <w:tcPr>
            <w:tcW w:w="3300" w:type="dxa"/>
            <w:shd w:val="clear" w:fill="EFEFEF"/>
          </w:tcPr>
          <w:p>
            <w:r>
              <w:rPr>
                <w:b/>
                <w:sz w:val="17"/>
              </w:rPr>
              <w:t xml:space="preserve">Обоснование</w:t>
            </w:r>
          </w:p>
        </w:tc>
        <w:tc>
          <w:tcPr>
            <w:tcW w:w="1770" w:type="dxa"/>
            <w:shd w:val="clear" w:fill="EFEFEF"/>
          </w:tcPr>
          <w:p>
            <w:r>
              <w:rPr>
                <w:b/>
                <w:sz w:val="17"/>
              </w:rPr>
              <w:t xml:space="preserve">Источник</w:t>
            </w:r>
          </w:p>
        </w:tc>
      </w:tr>
      <w:tr>
        <w:tc>
          <w:tcPr>
            <w:tcW w:w="600" w:type="dxa"/>
          </w:tcPr>
          <w:p>
            <w:r>
              <w:rPr>
                <w:b/>
                <w:sz w:val="17"/>
              </w:rPr>
              <w:t xml:space="preserve">Z-27</w:t>
            </w:r>
          </w:p>
        </w:tc>
        <w:tc>
          <w:tcPr>
            <w:tcW w:w="1600" w:type="dxa"/>
          </w:tcPr>
          <w:p>
            <w:r>
              <w:rPr>
                <w:b/>
                <w:sz w:val="17"/>
              </w:rPr>
              <w:t xml:space="preserve">Склад готовой продукции</w:t>
            </w:r>
          </w:p>
          <w:p>
            <w:r>
              <w:rPr>
                <w:color w:val="444444"/>
                <w:sz w:val="16"/>
              </w:rPr>
              <w:t xml:space="preserve">AGV-ready: ровность пола, зарядная, Wi-Fi</w:t>
            </w:r>
          </w:p>
        </w:tc>
        <w:tc>
          <w:tcPr>
            <w:tcW w:w="4600" w:type="dxa"/>
          </w:tcPr>
          <w:p>
            <w:r>
              <w:rPr>
                <w:sz w:val="17"/>
              </w:rPr>
              <w:t xml:space="preserve">Класс ровности пола — в задании на корпус (требование системы автоматического складирования); зарядная на два-три поста; сплошное покрытие склада беспроводной сетью; ОЛ машин в двух исполнениях (автоматическое и водительское); блокировка «стоп при подаче вагонов» — в карте сигналов.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— строительное задание на корпус</w:t>
            </w:r>
          </w:p>
          <w:p>
            <w:r>
              <w:rPr>
                <w:sz w:val="16"/>
              </w:rPr>
              <w:t xml:space="preserve">— ОЛ штабелёров</w:t>
            </w:r>
          </w:p>
          <w:p>
            <w:r>
              <w:rPr>
                <w:sz w:val="16"/>
              </w:rPr>
              <w:t xml:space="preserve">— карта сигналов блокировок</w:t>
            </w:r>
          </w:p>
          <w:p>
            <w:r>
              <w:rPr>
                <w:sz w:val="16"/>
              </w:rPr>
              <w:t xml:space="preserve">— раздел сетей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Безлюдное исполнение штабелёров вводится без переделки пола и сетей; такт 4 мин (пик 7 пакетов/ч) подтверждается обкаткой на ПНР; резерв — водительское исполнение для нештатных режимов.</w:t>
            </w:r>
          </w:p>
        </w:tc>
        <w:tc>
          <w:tcPr>
            <w:tcW w:w="1770" w:type="dxa"/>
          </w:tcPr>
          <w:p>
            <w:r>
              <w:rPr>
                <w:color w:val="666666"/>
                <w:sz w:val="15"/>
              </w:rPr>
              <w:t xml:space="preserve">Реестр идей ред. 2.0, разд. 1 п. 25</w:t>
            </w:r>
          </w:p>
          <w:p>
            <w:r>
              <w:rPr>
                <w:b/>
                <w:sz w:val="15"/>
              </w:rPr>
              <w:t xml:space="preserve">внесено в БИ</w:t>
            </w:r>
          </w:p>
        </w:tc>
      </w:tr>
      <w:tr>
        <w:tc>
          <w:tcPr>
            <w:tcW w:w="600" w:type="dxa"/>
          </w:tcPr>
          <w:p>
            <w:r>
              <w:rPr>
                <w:b/>
                <w:sz w:val="17"/>
              </w:rPr>
              <w:t xml:space="preserve">Z-28</w:t>
            </w:r>
          </w:p>
        </w:tc>
        <w:tc>
          <w:tcPr>
            <w:tcW w:w="1600" w:type="dxa"/>
          </w:tcPr>
          <w:p>
            <w:r>
              <w:rPr>
                <w:b/>
                <w:sz w:val="17"/>
              </w:rPr>
              <w:t xml:space="preserve">Погрузка вагонов</w:t>
            </w:r>
          </w:p>
          <w:p>
            <w:r>
              <w:rPr>
                <w:color w:val="444444"/>
                <w:sz w:val="16"/>
              </w:rPr>
              <w:t xml:space="preserve">Управляемая уставка массы пакета и таблица ЦМ-943</w:t>
            </w:r>
          </w:p>
        </w:tc>
        <w:tc>
          <w:tcPr>
            <w:tcW w:w="4600" w:type="dxa"/>
          </w:tcPr>
          <w:p>
            <w:r>
              <w:rPr>
                <w:sz w:val="17"/>
              </w:rPr>
              <w:t xml:space="preserve">Строка дистанционно управляемой уставки массы пакета — в ОЛ машины и межлотовом протоколе; машиночитаемая таблица ограничений схем размещения и крепления по ЦМ-943 (симметрия, нагрузки на ось и тележку), единая для алгоритма и приёмосдатчиков; резерв канала связи с автоматизированной системой железнодорожного цеха — в схеме сети.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— ОЛ КСМ</w:t>
            </w:r>
          </w:p>
          <w:p>
            <w:r>
              <w:rPr>
                <w:sz w:val="16"/>
              </w:rPr>
              <w:t xml:space="preserve">— межлотовый протокол</w:t>
            </w:r>
          </w:p>
          <w:p>
            <w:r>
              <w:rPr>
                <w:sz w:val="16"/>
              </w:rPr>
              <w:t xml:space="preserve">— схема сети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Оптимизационный набор вагона до грузоподъёмности 69,5–70 т по фактическим массам пакетов; расчёт детерминирован и воспроизводим — пригоден для коммерческого архива отгрузок.</w:t>
            </w:r>
          </w:p>
        </w:tc>
        <w:tc>
          <w:tcPr>
            <w:tcW w:w="1770" w:type="dxa"/>
          </w:tcPr>
          <w:p>
            <w:r>
              <w:rPr>
                <w:color w:val="666666"/>
                <w:sz w:val="15"/>
              </w:rPr>
              <w:t xml:space="preserve">Реестр идей ред. 2.0, разд. 1 п. 26</w:t>
            </w:r>
          </w:p>
          <w:p>
            <w:r>
              <w:rPr>
                <w:b/>
                <w:sz w:val="15"/>
              </w:rPr>
              <w:t xml:space="preserve">внесено в БИ</w:t>
            </w:r>
          </w:p>
        </w:tc>
      </w:tr>
      <w:tr>
        <w:tc>
          <w:tcPr>
            <w:tcW w:w="600" w:type="dxa"/>
          </w:tcPr>
          <w:p>
            <w:r>
              <w:rPr>
                <w:b/>
                <w:sz w:val="17"/>
              </w:rPr>
              <w:t xml:space="preserve">Z-29</w:t>
            </w:r>
          </w:p>
        </w:tc>
        <w:tc>
          <w:tcPr>
            <w:tcW w:w="1600" w:type="dxa"/>
          </w:tcPr>
          <w:p>
            <w:r>
              <w:rPr>
                <w:b/>
                <w:sz w:val="17"/>
              </w:rPr>
              <w:t xml:space="preserve">Железнодорожный фронт</w:t>
            </w:r>
          </w:p>
          <w:p>
            <w:r>
              <w:rPr>
                <w:color w:val="444444"/>
                <w:sz w:val="16"/>
              </w:rPr>
              <w:t xml:space="preserve">Вагонные весы</w:t>
            </w:r>
          </w:p>
        </w:tc>
        <w:tc>
          <w:tcPr>
            <w:tcW w:w="4600" w:type="dxa"/>
          </w:tcPr>
          <w:p>
            <w:r>
              <w:rPr>
                <w:sz w:val="17"/>
              </w:rPr>
              <w:t xml:space="preserve">Вагонные весы класса точности «высокий» с открытыми программными компонентами для автоматической передачи данных; контрольная точка оптимизационного набора вагона — невязка возвращается в расчёт; аттестация весовых каналов как коммерческого учёта, поставка с первичной поверкой.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— строительное задание</w:t>
            </w:r>
          </w:p>
          <w:p>
            <w:r>
              <w:rPr>
                <w:sz w:val="16"/>
              </w:rPr>
              <w:t xml:space="preserve">— спецификация весоизмерения</w:t>
            </w:r>
          </w:p>
          <w:p>
            <w:r>
              <w:rPr>
                <w:sz w:val="16"/>
              </w:rPr>
              <w:t xml:space="preserve">— перечень сигналов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Замыкание контура «уставка — набор — контроль» по фактическим массам; доказательный коммерческий архив отгрузок.</w:t>
            </w:r>
          </w:p>
        </w:tc>
        <w:tc>
          <w:tcPr>
            <w:tcW w:w="1770" w:type="dxa"/>
          </w:tcPr>
          <w:p>
            <w:r>
              <w:rPr>
                <w:color w:val="666666"/>
                <w:sz w:val="15"/>
              </w:rPr>
              <w:t xml:space="preserve">Реестр идей ред. 2.0, разд. 1 п. 26</w:t>
            </w:r>
          </w:p>
          <w:p>
            <w:r>
              <w:rPr>
                <w:b/>
                <w:sz w:val="15"/>
              </w:rPr>
              <w:t xml:space="preserve">внесено в БИ</w:t>
            </w:r>
          </w:p>
        </w:tc>
      </w:tr>
      <w:tr>
        <w:tc>
          <w:tcPr>
            <w:tcW w:w="600" w:type="dxa"/>
          </w:tcPr>
          <w:p>
            <w:r>
              <w:rPr>
                <w:b/>
                <w:sz w:val="17"/>
              </w:rPr>
              <w:t xml:space="preserve">Z-30</w:t>
            </w:r>
          </w:p>
        </w:tc>
        <w:tc>
          <w:tcPr>
            <w:tcW w:w="1600" w:type="dxa"/>
          </w:tcPr>
          <w:p>
            <w:r>
              <w:rPr>
                <w:b/>
                <w:sz w:val="17"/>
              </w:rPr>
              <w:t xml:space="preserve">Выходной контроль упаковки</w:t>
            </w:r>
          </w:p>
          <w:p>
            <w:r>
              <w:rPr>
                <w:color w:val="444444"/>
                <w:sz w:val="16"/>
              </w:rPr>
              <w:t xml:space="preserve">Закладные под рамки машинного зрения</w:t>
            </w:r>
          </w:p>
        </w:tc>
        <w:tc>
          <w:tcPr>
            <w:tcW w:w="4600" w:type="dxa"/>
          </w:tcPr>
          <w:p>
            <w:r>
              <w:rPr>
                <w:sz w:val="17"/>
              </w:rPr>
              <w:t xml:space="preserve">Закладные и кронштейны, питание и сеть под две рамки выходного контроля упаковки; поле результата контроля — в модели данных склада.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— строительное задание</w:t>
            </w:r>
          </w:p>
          <w:p>
            <w:r>
              <w:rPr>
                <w:sz w:val="16"/>
              </w:rPr>
              <w:t xml:space="preserve">— раздел сетей</w:t>
            </w:r>
          </w:p>
          <w:p>
            <w:r>
              <w:rPr>
                <w:sz w:val="16"/>
              </w:rPr>
              <w:t xml:space="preserve">— задание на прикладное ПО склада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Портал контроля ставится опцией без остановки потока отгрузки; состояние упаковки фиксируется до вагона — защита в претензионной работе.</w:t>
            </w:r>
          </w:p>
        </w:tc>
        <w:tc>
          <w:tcPr>
            <w:tcW w:w="1770" w:type="dxa"/>
          </w:tcPr>
          <w:p>
            <w:r>
              <w:rPr>
                <w:color w:val="666666"/>
                <w:sz w:val="15"/>
              </w:rPr>
              <w:t xml:space="preserve">Реестр идей ред. 2.0, разд. 2 п. 16 (подготовка в базовом составе)</w:t>
            </w:r>
          </w:p>
          <w:p>
            <w:r>
              <w:rPr>
                <w:b/>
                <w:sz w:val="15"/>
              </w:rPr>
              <w:t xml:space="preserve">внесено в БИ</w:t>
            </w:r>
          </w:p>
        </w:tc>
      </w:tr>
    </w:tbl>
    <w:p>
      <w:pPr>
        <w:pStyle w:val="Heading2"/>
      </w:pPr>
      <w:r>
        <w:t xml:space="preserve">Общезаводские закладки (все лоты и стыки границ) — 16 закладок</w:t>
      </w:r>
    </w:p>
    <w:tbl>
      <w:tblPr>
        <w:tblW w:w="1457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600"/>
        <w:gridCol w:w="1600"/>
        <w:gridCol w:w="4600"/>
        <w:gridCol w:w="2700"/>
        <w:gridCol w:w="3300"/>
        <w:gridCol w:w="1770"/>
      </w:tblGrid>
      <w:tr>
        <w:tc>
          <w:tcPr>
            <w:tcW w:w="600" w:type="dxa"/>
            <w:shd w:val="clear" w:fill="EFEFEF"/>
          </w:tcPr>
          <w:p>
            <w:r>
              <w:rPr>
                <w:b/>
                <w:sz w:val="17"/>
              </w:rPr>
              <w:t xml:space="preserve">№</w:t>
            </w:r>
          </w:p>
        </w:tc>
        <w:tc>
          <w:tcPr>
            <w:tcW w:w="1600" w:type="dxa"/>
            <w:shd w:val="clear" w:fill="EFEFEF"/>
          </w:tcPr>
          <w:p>
            <w:r>
              <w:rPr>
                <w:b/>
                <w:sz w:val="17"/>
              </w:rPr>
              <w:t xml:space="preserve">Узел</w:t>
            </w:r>
          </w:p>
        </w:tc>
        <w:tc>
          <w:tcPr>
            <w:tcW w:w="4600" w:type="dxa"/>
            <w:shd w:val="clear" w:fill="EFEFEF"/>
          </w:tcPr>
          <w:p>
            <w:r>
              <w:rPr>
                <w:b/>
                <w:sz w:val="17"/>
              </w:rPr>
              <w:t xml:space="preserve">Требование (закладка в базовый состав)</w:t>
            </w:r>
          </w:p>
        </w:tc>
        <w:tc>
          <w:tcPr>
            <w:tcW w:w="2700" w:type="dxa"/>
            <w:shd w:val="clear" w:fill="EFEFEF"/>
          </w:tcPr>
          <w:p>
            <w:r>
              <w:rPr>
                <w:b/>
                <w:sz w:val="17"/>
              </w:rPr>
              <w:t xml:space="preserve">Куда внесено</w:t>
            </w:r>
          </w:p>
        </w:tc>
        <w:tc>
          <w:tcPr>
            <w:tcW w:w="3300" w:type="dxa"/>
            <w:shd w:val="clear" w:fill="EFEFEF"/>
          </w:tcPr>
          <w:p>
            <w:r>
              <w:rPr>
                <w:b/>
                <w:sz w:val="17"/>
              </w:rPr>
              <w:t xml:space="preserve">Обоснование</w:t>
            </w:r>
          </w:p>
        </w:tc>
        <w:tc>
          <w:tcPr>
            <w:tcW w:w="1770" w:type="dxa"/>
            <w:shd w:val="clear" w:fill="EFEFEF"/>
          </w:tcPr>
          <w:p>
            <w:r>
              <w:rPr>
                <w:b/>
                <w:sz w:val="17"/>
              </w:rPr>
              <w:t xml:space="preserve">Источник</w:t>
            </w:r>
          </w:p>
        </w:tc>
      </w:tr>
      <w:tr>
        <w:tc>
          <w:tcPr>
            <w:tcW w:w="600" w:type="dxa"/>
          </w:tcPr>
          <w:p>
            <w:r>
              <w:rPr>
                <w:b/>
                <w:sz w:val="17"/>
              </w:rPr>
              <w:t xml:space="preserve">Z-31</w:t>
            </w:r>
          </w:p>
        </w:tc>
        <w:tc>
          <w:tcPr>
            <w:tcW w:w="1600" w:type="dxa"/>
          </w:tcPr>
          <w:p>
            <w:r>
              <w:rPr>
                <w:b/>
                <w:sz w:val="17"/>
              </w:rPr>
              <w:t xml:space="preserve">АСУТП всех лотов</w:t>
            </w:r>
          </w:p>
          <w:p>
            <w:r>
              <w:rPr>
                <w:color w:val="444444"/>
                <w:sz w:val="16"/>
              </w:rPr>
              <w:t xml:space="preserve">Write-теги с ограничителями: шаблон «внешняя уставка»</w:t>
            </w:r>
          </w:p>
        </w:tc>
        <w:tc>
          <w:tcPr>
            <w:tcW w:w="4600" w:type="dxa"/>
          </w:tcPr>
          <w:p>
            <w:r>
              <w:rPr>
                <w:sz w:val="17"/>
              </w:rPr>
              <w:t xml:space="preserve">Типовой шаблон «внешняя уставка» для всех главных контуров: write-тег с ограничителями диапазона и скорости, сторожевым таймером и безударным возвратом на локальное задание; «динамический паспорт» главных контуров (постоянные времени и запаздывания из ступенчатых испытаний ПНР) — в состав исполнительной документации.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— реестры сигналов всех лотов</w:t>
            </w:r>
          </w:p>
          <w:p>
            <w:r>
              <w:rPr>
                <w:sz w:val="16"/>
              </w:rPr>
              <w:t xml:space="preserve">— задание на прикладное ПО ПЛК</w:t>
            </w:r>
          </w:p>
          <w:p>
            <w:r>
              <w:rPr>
                <w:sz w:val="16"/>
              </w:rPr>
              <w:t xml:space="preserve">— программа ПНР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Любая надстройка оптимизации подключается конфигурацией за недели — без врезок и остановок производства; ПАЗ независим во всех режимах.</w:t>
            </w:r>
          </w:p>
        </w:tc>
        <w:tc>
          <w:tcPr>
            <w:tcW w:w="1770" w:type="dxa"/>
          </w:tcPr>
          <w:p>
            <w:r>
              <w:rPr>
                <w:color w:val="666666"/>
                <w:sz w:val="15"/>
              </w:rPr>
              <w:t xml:space="preserve">Реестр идей ред. 2.0, разд. 1 п. 34</w:t>
            </w:r>
          </w:p>
          <w:p>
            <w:r>
              <w:rPr>
                <w:b/>
                <w:sz w:val="15"/>
              </w:rPr>
              <w:t xml:space="preserve">внесено в БИ</w:t>
            </w:r>
          </w:p>
        </w:tc>
      </w:tr>
      <w:tr>
        <w:tc>
          <w:tcPr>
            <w:tcW w:w="600" w:type="dxa"/>
          </w:tcPr>
          <w:p>
            <w:r>
              <w:rPr>
                <w:b/>
                <w:sz w:val="17"/>
              </w:rPr>
              <w:t xml:space="preserve">Z-32</w:t>
            </w:r>
          </w:p>
        </w:tc>
        <w:tc>
          <w:tcPr>
            <w:tcW w:w="1600" w:type="dxa"/>
          </w:tcPr>
          <w:p>
            <w:r>
              <w:rPr>
                <w:b/>
                <w:sz w:val="17"/>
              </w:rPr>
              <w:t xml:space="preserve">ИТ-инфраструктура</w:t>
            </w:r>
          </w:p>
          <w:p>
            <w:r>
              <w:rPr>
                <w:color w:val="444444"/>
                <w:sz w:val="16"/>
              </w:rPr>
              <w:t xml:space="preserve">Серверы оптимизации, OPC UA и сегмент КИИ</w:t>
            </w:r>
          </w:p>
        </w:tc>
        <w:tc>
          <w:tcPr>
            <w:tcW w:w="4600" w:type="dxa"/>
          </w:tcPr>
          <w:p>
            <w:r>
              <w:rPr>
                <w:sz w:val="17"/>
              </w:rPr>
              <w:t xml:space="preserve">Резервированная пара серверов оптимизации в серверной; шлюз OPC UA; выделенный сегмент сети «оптимизация» за промышленным межсетевым экраном в логике требований к критической информационной инфраструктуре. Стороннее прикладное ПО в базовый состав не входит — закладываются шаблоны, каналы и серверные места.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— спецификация серверной</w:t>
            </w:r>
          </w:p>
          <w:p>
            <w:r>
              <w:rPr>
                <w:sz w:val="16"/>
              </w:rPr>
              <w:t xml:space="preserve">— раздел сетей</w:t>
            </w:r>
          </w:p>
          <w:p>
            <w:r>
              <w:rPr>
                <w:sz w:val="16"/>
              </w:rPr>
              <w:t xml:space="preserve">— раздел информационной безопасности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Готовность к надстройкам оптимизации без пересмотра сетевой архитектуры и повторной аттестации сегментов после пуска.</w:t>
            </w:r>
          </w:p>
        </w:tc>
        <w:tc>
          <w:tcPr>
            <w:tcW w:w="1770" w:type="dxa"/>
          </w:tcPr>
          <w:p>
            <w:r>
              <w:rPr>
                <w:color w:val="666666"/>
                <w:sz w:val="15"/>
              </w:rPr>
              <w:t xml:space="preserve">Реестр идей ред. 2.0, разд. 1 п. 34</w:t>
            </w:r>
          </w:p>
          <w:p>
            <w:r>
              <w:rPr>
                <w:b/>
                <w:sz w:val="15"/>
              </w:rPr>
              <w:t xml:space="preserve">внесено в БИ</w:t>
            </w:r>
          </w:p>
        </w:tc>
      </w:tr>
      <w:tr>
        <w:tc>
          <w:tcPr>
            <w:tcW w:w="600" w:type="dxa"/>
          </w:tcPr>
          <w:p>
            <w:r>
              <w:rPr>
                <w:b/>
                <w:sz w:val="17"/>
              </w:rPr>
              <w:t xml:space="preserve">Z-33</w:t>
            </w:r>
          </w:p>
        </w:tc>
        <w:tc>
          <w:tcPr>
            <w:tcW w:w="1600" w:type="dxa"/>
          </w:tcPr>
          <w:p>
            <w:r>
              <w:rPr>
                <w:b/>
                <w:sz w:val="17"/>
              </w:rPr>
              <w:t xml:space="preserve">Архив технологических данных</w:t>
            </w:r>
          </w:p>
          <w:p>
            <w:r>
              <w:rPr>
                <w:color w:val="444444"/>
                <w:sz w:val="16"/>
              </w:rPr>
              <w:t xml:space="preserve">Секундный архив ≥5 лет, NTP/PTP, журнал оператора</w:t>
            </w:r>
          </w:p>
        </w:tc>
        <w:tc>
          <w:tcPr>
            <w:tcW w:w="4600" w:type="dxa"/>
          </w:tcPr>
          <w:p>
            <w:r>
              <w:rPr>
                <w:sz w:val="17"/>
              </w:rPr>
              <w:t xml:space="preserve">Секундная история ключевых тегов в архивной системе с хранением полного разрешения не менее 5 лет; единая синхронизация времени всех контроллеров (NTP/PTP); электронный журнал оператора; журналирование и ведение записи с первого дня пусконаладки — эталонный массив данных пускового периода; СХД в спецификации с питанием I категории.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— ТЗ на АСУТП (ГОСТ 34.602)</w:t>
            </w:r>
          </w:p>
          <w:p>
            <w:r>
              <w:rPr>
                <w:sz w:val="16"/>
              </w:rPr>
              <w:t xml:space="preserve">— спецификация СХД</w:t>
            </w:r>
          </w:p>
          <w:p>
            <w:r>
              <w:rPr>
                <w:sz w:val="16"/>
              </w:rPr>
              <w:t xml:space="preserve">— программа ПНР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Массив пускового периода — исходные данные идентификации моделей усовершенствованного управления и базис гарантийных разборов; после пуска его не восстановить.</w:t>
            </w:r>
          </w:p>
        </w:tc>
        <w:tc>
          <w:tcPr>
            <w:tcW w:w="1770" w:type="dxa"/>
          </w:tcPr>
          <w:p>
            <w:r>
              <w:rPr>
                <w:color w:val="666666"/>
                <w:sz w:val="15"/>
              </w:rPr>
              <w:t xml:space="preserve">Реестр идей ред. 2.0, разд. 1 пп. 34, 39</w:t>
            </w:r>
          </w:p>
          <w:p>
            <w:r>
              <w:rPr>
                <w:b/>
                <w:sz w:val="15"/>
              </w:rPr>
              <w:t xml:space="preserve">внесено в БИ</w:t>
            </w:r>
          </w:p>
        </w:tc>
      </w:tr>
      <w:tr>
        <w:tc>
          <w:tcPr>
            <w:tcW w:w="600" w:type="dxa"/>
          </w:tcPr>
          <w:p>
            <w:r>
              <w:rPr>
                <w:b/>
                <w:sz w:val="17"/>
              </w:rPr>
              <w:t xml:space="preserve">Z-34</w:t>
            </w:r>
          </w:p>
        </w:tc>
        <w:tc>
          <w:tcPr>
            <w:tcW w:w="1600" w:type="dxa"/>
          </w:tcPr>
          <w:p>
            <w:r>
              <w:rPr>
                <w:b/>
                <w:sz w:val="17"/>
              </w:rPr>
              <w:t xml:space="preserve">Энергобаланс</w:t>
            </w:r>
          </w:p>
          <w:p>
            <w:r>
              <w:rPr>
                <w:color w:val="444444"/>
                <w:sz w:val="16"/>
              </w:rPr>
              <w:t xml:space="preserve">Теплосчётчики шести контуров</w:t>
            </w:r>
          </w:p>
        </w:tc>
        <w:tc>
          <w:tcPr>
            <w:tcW w:w="4600" w:type="dxa"/>
          </w:tcPr>
          <w:p>
            <w:r>
              <w:rPr>
                <w:sz w:val="17"/>
              </w:rPr>
              <w:t xml:space="preserve">Теплосчётчики на шесть контуров (пар котла-утилизатора, питательная вода, три контура оборотного водоснабжения, конденсат) — отдельной группой «энергобаланс» спецификации КИП; пар — вихревыми расходомерами с коррекцией по давлению и температуре; единая синхронизация времени и передача в архивную систему.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— спецификация КИП</w:t>
            </w:r>
          </w:p>
          <w:p>
            <w:r>
              <w:rPr>
                <w:sz w:val="16"/>
              </w:rPr>
              <w:t xml:space="preserve">— перечень линий</w:t>
            </w:r>
          </w:p>
          <w:p>
            <w:r>
              <w:rPr>
                <w:sz w:val="16"/>
              </w:rPr>
              <w:t xml:space="preserve">— ТЗ на АСУТП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Приборное ядро сводной энергетической карты (около 9 МВт сбросного тепла на градирни) и год честных данных для ТЭО опций утилизации тепла.</w:t>
            </w:r>
          </w:p>
        </w:tc>
        <w:tc>
          <w:tcPr>
            <w:tcW w:w="1770" w:type="dxa"/>
          </w:tcPr>
          <w:p>
            <w:r>
              <w:rPr>
                <w:color w:val="666666"/>
                <w:sz w:val="15"/>
              </w:rPr>
              <w:t xml:space="preserve">Реестр идей ред. 2.0, разд. 1 п. 33</w:t>
            </w:r>
          </w:p>
          <w:p>
            <w:r>
              <w:rPr>
                <w:b/>
                <w:sz w:val="15"/>
              </w:rPr>
              <w:t xml:space="preserve">внесено в БИ</w:t>
            </w:r>
          </w:p>
        </w:tc>
      </w:tr>
      <w:tr>
        <w:tc>
          <w:tcPr>
            <w:tcW w:w="600" w:type="dxa"/>
          </w:tcPr>
          <w:p>
            <w:r>
              <w:rPr>
                <w:b/>
                <w:sz w:val="17"/>
              </w:rPr>
              <w:t xml:space="preserve">Z-35</w:t>
            </w:r>
          </w:p>
        </w:tc>
        <w:tc>
          <w:tcPr>
            <w:tcW w:w="1600" w:type="dxa"/>
          </w:tcPr>
          <w:p>
            <w:r>
              <w:rPr>
                <w:b/>
                <w:sz w:val="17"/>
              </w:rPr>
              <w:t xml:space="preserve">Оборотное водоснабжение</w:t>
            </w:r>
          </w:p>
          <w:p>
            <w:r>
              <w:rPr>
                <w:color w:val="444444"/>
                <w:sz w:val="16"/>
              </w:rPr>
              <w:t xml:space="preserve">Штуцеры на обратках СОВ и площадка теплонасосной</w:t>
            </w:r>
          </w:p>
        </w:tc>
        <w:tc>
          <w:tcPr>
            <w:tcW w:w="4600" w:type="dxa"/>
          </w:tcPr>
          <w:p>
            <w:r>
              <w:rPr>
                <w:sz w:val="17"/>
              </w:rPr>
              <w:t xml:space="preserve">Штуцеры Ду150–200 с отсечной арматурой на обратках трёх контуров оборотного водоснабжения; площадка 12×6 м с фундаментом и кабельный резерв у насосной; низкотемпературный график калориферов — в заданиях смежному разделу отопления и вентиляции.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— P&amp;ID оборотного водоснабжения</w:t>
            </w:r>
          </w:p>
          <w:p>
            <w:r>
              <w:rPr>
                <w:sz w:val="16"/>
              </w:rPr>
              <w:t xml:space="preserve">— строительное задание</w:t>
            </w:r>
          </w:p>
          <w:p>
            <w:r>
              <w:rPr>
                <w:sz w:val="16"/>
              </w:rPr>
              <w:t xml:space="preserve">— задания смежникам (ОВ)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Опция утилизации 7–9 МВт сбросного тепла (рекуперация на приток, тепловые насосы) ставится без остановки контуров охлаждения.</w:t>
            </w:r>
          </w:p>
        </w:tc>
        <w:tc>
          <w:tcPr>
            <w:tcW w:w="1770" w:type="dxa"/>
          </w:tcPr>
          <w:p>
            <w:r>
              <w:rPr>
                <w:color w:val="666666"/>
                <w:sz w:val="15"/>
              </w:rPr>
              <w:t xml:space="preserve">Реестр идей ред. 2.0, разд. 2 п. 6 (подготовка в базовом составе)</w:t>
            </w:r>
          </w:p>
          <w:p>
            <w:r>
              <w:rPr>
                <w:b/>
                <w:sz w:val="15"/>
              </w:rPr>
              <w:t xml:space="preserve">внесено в БИ</w:t>
            </w:r>
          </w:p>
        </w:tc>
      </w:tr>
      <w:tr>
        <w:tc>
          <w:tcPr>
            <w:tcW w:w="600" w:type="dxa"/>
          </w:tcPr>
          <w:p>
            <w:r>
              <w:rPr>
                <w:b/>
                <w:sz w:val="17"/>
              </w:rPr>
              <w:t xml:space="preserve">Z-36</w:t>
            </w:r>
          </w:p>
        </w:tc>
        <w:tc>
          <w:tcPr>
            <w:tcW w:w="1600" w:type="dxa"/>
          </w:tcPr>
          <w:p>
            <w:r>
              <w:rPr>
                <w:b/>
                <w:sz w:val="17"/>
              </w:rPr>
              <w:t xml:space="preserve">Обходы и мобильный контроль</w:t>
            </w:r>
          </w:p>
          <w:p>
            <w:r>
              <w:rPr>
                <w:color w:val="444444"/>
                <w:sz w:val="16"/>
              </w:rPr>
              <w:t xml:space="preserve">NFC-метки и штатные точки замера</w:t>
            </w:r>
          </w:p>
        </w:tc>
        <w:tc>
          <w:tcPr>
            <w:tcW w:w="4600" w:type="dxa"/>
          </w:tcPr>
          <w:p>
            <w:r>
              <w:rPr>
                <w:sz w:val="17"/>
              </w:rPr>
              <w:t xml:space="preserve">Кислотостойкие NFC/QR-метки на 180 ваннах и позициях оборудования всех четырёх лотов; штатные безопасные точки милливольтового замера на межванновой ошиновке на высоте не более 1700 мм (без лесов и стремянок — требование Прил. №5); покрытие залов беспроводной сетью; формат передачи результатов в архивную систему.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— перечни точек по четырём лотам</w:t>
            </w:r>
          </w:p>
          <w:p>
            <w:r>
              <w:rPr>
                <w:sz w:val="16"/>
              </w:rPr>
              <w:t xml:space="preserve">— комплект ванн и ошиновки (ОЛ)</w:t>
            </w:r>
          </w:p>
          <w:p>
            <w:r>
              <w:rPr>
                <w:sz w:val="16"/>
              </w:rPr>
              <w:t xml:space="preserve">— раздел сетей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Закрывает открытый пункт БИ «точки и способ милливольтового контроля ванн»; замеры выполняются между перерывами тока, опорные напряжения всех 180 ванн снимаются на ПНР.</w:t>
            </w:r>
          </w:p>
        </w:tc>
        <w:tc>
          <w:tcPr>
            <w:tcW w:w="1770" w:type="dxa"/>
          </w:tcPr>
          <w:p>
            <w:r>
              <w:rPr>
                <w:color w:val="666666"/>
                <w:sz w:val="15"/>
              </w:rPr>
              <w:t xml:space="preserve">Реестр идей ред. 2.0, разд. 1 п. 18</w:t>
            </w:r>
          </w:p>
          <w:p>
            <w:r>
              <w:rPr>
                <w:b/>
                <w:sz w:val="15"/>
              </w:rPr>
              <w:t xml:space="preserve">внесено в БИ</w:t>
            </w:r>
          </w:p>
        </w:tc>
      </w:tr>
      <w:tr>
        <w:tc>
          <w:tcPr>
            <w:tcW w:w="600" w:type="dxa"/>
          </w:tcPr>
          <w:p>
            <w:r>
              <w:rPr>
                <w:b/>
                <w:sz w:val="17"/>
              </w:rPr>
              <w:t xml:space="preserve">Z-37</w:t>
            </w:r>
          </w:p>
        </w:tc>
        <w:tc>
          <w:tcPr>
            <w:tcW w:w="1600" w:type="dxa"/>
          </w:tcPr>
          <w:p>
            <w:r>
              <w:rPr>
                <w:b/>
                <w:sz w:val="17"/>
              </w:rPr>
              <w:t xml:space="preserve">Тяжёлый монтаж</w:t>
            </w:r>
          </w:p>
          <w:p>
            <w:r>
              <w:rPr>
                <w:color w:val="444444"/>
                <w:sz w:val="16"/>
              </w:rPr>
              <w:t xml:space="preserve">Реперные марки в КД и допуски ±2 мм</w:t>
            </w:r>
          </w:p>
        </w:tc>
        <w:tc>
          <w:tcPr>
            <w:tcW w:w="4600" w:type="dxa"/>
          </w:tcPr>
          <w:p>
            <w:r>
              <w:rPr>
                <w:sz w:val="17"/>
              </w:rPr>
              <w:t xml:space="preserve">Штатные реперные марки и контрольные точки в конструкторской документации каждой тяжёлой единицы (печь, котёл-утилизатор, электрофильтры, ванны, машины, краны) — требованием опросных листов; таблицы монтажных допусков (борта смежных ванн ±2 мм на ряду 63 м) с методом контроля — в разделах «Требования к монтажу» всех четырёх лотов; пункты разбивочной основы вне вибрационных зон — в компоновке; координаты «как смонтировано» — атрибутами цифровой модели.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— ОЛ поставщиков тяжёлого оборудования</w:t>
            </w:r>
          </w:p>
          <w:p>
            <w:r>
              <w:rPr>
                <w:sz w:val="16"/>
              </w:rPr>
              <w:t xml:space="preserve">— разделы «Требования к монтажу»</w:t>
            </w:r>
          </w:p>
          <w:p>
            <w:r>
              <w:rPr>
                <w:sz w:val="16"/>
              </w:rPr>
              <w:t xml:space="preserve">— компоновка</w:t>
            </w:r>
          </w:p>
          <w:p>
            <w:r>
              <w:rPr>
                <w:sz w:val="16"/>
              </w:rPr>
              <w:t xml:space="preserve">— задание на цифровую модель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Проектные 0,06 В на ванну достижимы только в допуске ±2 мм; уход контактов на 10 мВ по 180 ваннам — около 0,7 ГВт·ч/год, треть запаса гарантии удельного расхода 2050 кВт·ч/т.</w:t>
            </w:r>
          </w:p>
        </w:tc>
        <w:tc>
          <w:tcPr>
            <w:tcW w:w="1770" w:type="dxa"/>
          </w:tcPr>
          <w:p>
            <w:r>
              <w:rPr>
                <w:color w:val="666666"/>
                <w:sz w:val="15"/>
              </w:rPr>
              <w:t xml:space="preserve">Реестр идей ред. 2.0, разд. 1 п. 43</w:t>
            </w:r>
          </w:p>
          <w:p>
            <w:r>
              <w:rPr>
                <w:b/>
                <w:sz w:val="15"/>
              </w:rPr>
              <w:t xml:space="preserve">внесено в БИ</w:t>
            </w:r>
          </w:p>
        </w:tc>
      </w:tr>
      <w:tr>
        <w:tc>
          <w:tcPr>
            <w:tcW w:w="600" w:type="dxa"/>
          </w:tcPr>
          <w:p>
            <w:r>
              <w:rPr>
                <w:b/>
                <w:sz w:val="17"/>
              </w:rPr>
              <w:t xml:space="preserve">Z-38</w:t>
            </w:r>
          </w:p>
        </w:tc>
        <w:tc>
          <w:tcPr>
            <w:tcW w:w="1600" w:type="dxa"/>
          </w:tcPr>
          <w:p>
            <w:r>
              <w:rPr>
                <w:b/>
                <w:sz w:val="17"/>
              </w:rPr>
              <w:t xml:space="preserve">Прослеживаемость партий</w:t>
            </w:r>
          </w:p>
          <w:p>
            <w:r>
              <w:rPr>
                <w:color w:val="444444"/>
                <w:sz w:val="16"/>
              </w:rPr>
              <w:t xml:space="preserve">Межлотовый протокол ключей прослеживаемости</w:t>
            </w:r>
          </w:p>
        </w:tc>
        <w:tc>
          <w:tcPr>
            <w:tcW w:w="4600" w:type="dxa"/>
          </w:tcPr>
          <w:p>
            <w:r>
              <w:rPr>
                <w:sz w:val="17"/>
              </w:rPr>
              <w:t xml:space="preserve">Модель ключей «пакет — ванна — режим» в межлотовом интерфейсном протоколе Лот №3 — Лот №4; формат QR-этикетки пакета; требование хранения привязки не менее 10 лет; сырые ряды напряжений ванн и токов серий — в архиве не менее 5 лет.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— межлотовый протокол</w:t>
            </w:r>
          </w:p>
          <w:p>
            <w:r>
              <w:rPr>
                <w:sz w:val="16"/>
              </w:rPr>
              <w:t xml:space="preserve">— ТЗ на АСУТП</w:t>
            </w:r>
          </w:p>
          <w:p>
            <w:r>
              <w:rPr>
                <w:sz w:val="16"/>
              </w:rPr>
              <w:t xml:space="preserve">— задание на прикладное ПО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Досье партии в претензионной работе и при регистрации марки; глубина претензионного разбора обеспечена архивом сырых рядов.</w:t>
            </w:r>
          </w:p>
        </w:tc>
        <w:tc>
          <w:tcPr>
            <w:tcW w:w="1770" w:type="dxa"/>
          </w:tcPr>
          <w:p>
            <w:r>
              <w:rPr>
                <w:color w:val="666666"/>
                <w:sz w:val="15"/>
              </w:rPr>
              <w:t xml:space="preserve">Реестр идей ред. 2.0, разд. 1 п. 13</w:t>
            </w:r>
          </w:p>
          <w:p>
            <w:r>
              <w:rPr>
                <w:b/>
                <w:sz w:val="15"/>
              </w:rPr>
              <w:t xml:space="preserve">внесено в БИ</w:t>
            </w:r>
          </w:p>
        </w:tc>
      </w:tr>
      <w:tr>
        <w:tc>
          <w:tcPr>
            <w:tcW w:w="600" w:type="dxa"/>
          </w:tcPr>
          <w:p>
            <w:r>
              <w:rPr>
                <w:b/>
                <w:sz w:val="17"/>
              </w:rPr>
              <w:t xml:space="preserve">Z-39</w:t>
            </w:r>
          </w:p>
        </w:tc>
        <w:tc>
          <w:tcPr>
            <w:tcW w:w="1600" w:type="dxa"/>
          </w:tcPr>
          <w:p>
            <w:r>
              <w:rPr>
                <w:b/>
                <w:sz w:val="17"/>
              </w:rPr>
              <w:t xml:space="preserve">Освещение</w:t>
            </w:r>
          </w:p>
          <w:p>
            <w:r>
              <w:rPr>
                <w:color w:val="444444"/>
                <w:sz w:val="16"/>
              </w:rPr>
              <w:t xml:space="preserve">Стабилизированная освещённость зон машинного зрения</w:t>
            </w:r>
          </w:p>
        </w:tc>
        <w:tc>
          <w:tcPr>
            <w:tcW w:w="4600" w:type="dxa"/>
          </w:tcPr>
          <w:p>
            <w:r>
              <w:rPr>
                <w:sz w:val="17"/>
              </w:rPr>
              <w:t xml:space="preserve">Зоны машинного зрения (посты КСМ, рамки выходного контроля упаковки, весовые) — стабилизированная освещённость без пульсаций; явный перечень зон-исключений из-под датчиков присутствия и сценариев управляемого освещения; требования управляемости — в пояснительную записку и задания смежникам (светотехнический расчёт остаётся этапом РД).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— задания смежникам (ЭО)</w:t>
            </w:r>
          </w:p>
          <w:p>
            <w:r>
              <w:rPr>
                <w:sz w:val="16"/>
              </w:rPr>
              <w:t xml:space="preserve">— пояснительная записка</w:t>
            </w:r>
          </w:p>
          <w:p>
            <w:r>
              <w:rPr>
                <w:sz w:val="16"/>
              </w:rPr>
              <w:t xml:space="preserve">— перечень зон-исключений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Достоверность оптического контроля и весовых каналов; экономия управляемого освещения 0,7–1,1 ГВт·ч/год реализуется не в ущерб машинному зрению.</w:t>
            </w:r>
          </w:p>
        </w:tc>
        <w:tc>
          <w:tcPr>
            <w:tcW w:w="1770" w:type="dxa"/>
          </w:tcPr>
          <w:p>
            <w:r>
              <w:rPr>
                <w:color w:val="666666"/>
                <w:sz w:val="15"/>
              </w:rPr>
              <w:t xml:space="preserve">Реестр идей ред. 2.0, разд. 1 пп. 12, 32</w:t>
            </w:r>
          </w:p>
          <w:p>
            <w:r>
              <w:rPr>
                <w:b/>
                <w:sz w:val="15"/>
              </w:rPr>
              <w:t xml:space="preserve">внесено в БИ</w:t>
            </w:r>
          </w:p>
        </w:tc>
      </w:tr>
      <w:tr>
        <w:tc>
          <w:tcPr>
            <w:tcW w:w="600" w:type="dxa"/>
          </w:tcPr>
          <w:p>
            <w:r>
              <w:rPr>
                <w:b/>
                <w:sz w:val="17"/>
              </w:rPr>
              <w:t xml:space="preserve">Z-40</w:t>
            </w:r>
          </w:p>
        </w:tc>
        <w:tc>
          <w:tcPr>
            <w:tcW w:w="1600" w:type="dxa"/>
          </w:tcPr>
          <w:p>
            <w:r>
              <w:rPr>
                <w:b/>
                <w:sz w:val="17"/>
              </w:rPr>
              <w:t xml:space="preserve">Опросные листы</w:t>
            </w:r>
          </w:p>
          <w:p>
            <w:r>
              <w:rPr>
                <w:color w:val="444444"/>
                <w:sz w:val="16"/>
              </w:rPr>
              <w:t xml:space="preserve">Раздел открытых данных состояния (свыше 30 кВт)</w:t>
            </w:r>
          </w:p>
        </w:tc>
        <w:tc>
          <w:tcPr>
            <w:tcW w:w="4600" w:type="dxa"/>
          </w:tcPr>
          <w:p>
            <w:r>
              <w:rPr>
                <w:sz w:val="17"/>
              </w:rPr>
              <w:t xml:space="preserve">Типовой раздел во все ОЛ динамического оборудования свыше 30 кВт и критичного: встроенные датчики вибрации и температуры подшипников, наработка, счётчики пусков, токи приводов; выдача числовых значений (не битовых статусов «норма/авария») по стандартному цифровому протоколу; карта регистров — в составе документации поставщика; единый «сервер надёжности» вместо изолированных островов.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— шаблон ОЛ всех лотов</w:t>
            </w:r>
          </w:p>
          <w:p>
            <w:r>
              <w:rPr>
                <w:sz w:val="16"/>
              </w:rPr>
              <w:t xml:space="preserve">— ведомости сигналов</w:t>
            </w:r>
          </w:p>
          <w:p>
            <w:r>
              <w:rPr>
                <w:sz w:val="16"/>
              </w:rPr>
              <w:t xml:space="preserve">— спецификация серверной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Дооснащение закрытых комплектных машин после пуска в 3–5 раз дороже закладки в проект; единый сервер экономит 3–8 млн ₽ на дублируемых серверах.</w:t>
            </w:r>
          </w:p>
        </w:tc>
        <w:tc>
          <w:tcPr>
            <w:tcW w:w="1770" w:type="dxa"/>
          </w:tcPr>
          <w:p>
            <w:r>
              <w:rPr>
                <w:color w:val="666666"/>
                <w:sz w:val="15"/>
              </w:rPr>
              <w:t xml:space="preserve">Реестр идей ред. 2.0, разд. 1 п. 35</w:t>
            </w:r>
          </w:p>
          <w:p>
            <w:r>
              <w:rPr>
                <w:b/>
                <w:sz w:val="15"/>
              </w:rPr>
              <w:t xml:space="preserve">внесено в БИ</w:t>
            </w:r>
          </w:p>
        </w:tc>
      </w:tr>
      <w:tr>
        <w:tc>
          <w:tcPr>
            <w:tcW w:w="600" w:type="dxa"/>
          </w:tcPr>
          <w:p>
            <w:r>
              <w:rPr>
                <w:b/>
                <w:sz w:val="17"/>
              </w:rPr>
              <w:t xml:space="preserve">Z-41</w:t>
            </w:r>
          </w:p>
        </w:tc>
        <w:tc>
          <w:tcPr>
            <w:tcW w:w="1600" w:type="dxa"/>
          </w:tcPr>
          <w:p>
            <w:r>
              <w:rPr>
                <w:b/>
                <w:sz w:val="17"/>
              </w:rPr>
              <w:t xml:space="preserve">Модель данных</w:t>
            </w:r>
          </w:p>
          <w:p>
            <w:r>
              <w:rPr>
                <w:color w:val="444444"/>
                <w:sz w:val="16"/>
              </w:rPr>
              <w:t xml:space="preserve">Единый словарь тегов = P&amp;ID = цифровая модель</w:t>
            </w:r>
          </w:p>
        </w:tc>
        <w:tc>
          <w:tcPr>
            <w:tcW w:w="4600" w:type="dxa"/>
          </w:tcPr>
          <w:p>
            <w:r>
              <w:rPr>
                <w:sz w:val="17"/>
              </w:rPr>
              <w:t xml:space="preserve">Словарь данных (кодировка тегов) единый с P&amp;ID и цифровой информационной моделью; сквозной словарь тегов комплектных поставок; единая нормативно-справочная информация с кодами корпоративной системы планирования.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— ТЗ на АСУТП</w:t>
            </w:r>
          </w:p>
          <w:p>
            <w:r>
              <w:rPr>
                <w:sz w:val="16"/>
              </w:rPr>
              <w:t xml:space="preserve">— задание на ЦИМ</w:t>
            </w:r>
          </w:p>
          <w:p>
            <w:r>
              <w:rPr>
                <w:sz w:val="16"/>
              </w:rPr>
              <w:t xml:space="preserve">— реестры сигналов</w:t>
            </w:r>
          </w:p>
          <w:p>
            <w:r>
              <w:rPr>
                <w:sz w:val="16"/>
              </w:rPr>
              <w:t xml:space="preserve">— межлотовые протоколы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Сшивка проектных, монтажных и эксплуатационных данных без ручного сопоставления — основа всех последующих цифровых сервисов и суточного план-факта.</w:t>
            </w:r>
          </w:p>
        </w:tc>
        <w:tc>
          <w:tcPr>
            <w:tcW w:w="1770" w:type="dxa"/>
          </w:tcPr>
          <w:p>
            <w:r>
              <w:rPr>
                <w:color w:val="666666"/>
                <w:sz w:val="15"/>
              </w:rPr>
              <w:t xml:space="preserve">Реестр идей ред. 2.0, разд. 1 пп. 37, 39</w:t>
            </w:r>
          </w:p>
          <w:p>
            <w:r>
              <w:rPr>
                <w:b/>
                <w:sz w:val="15"/>
              </w:rPr>
              <w:t xml:space="preserve">внесено в БИ</w:t>
            </w:r>
          </w:p>
        </w:tc>
      </w:tr>
      <w:tr>
        <w:tc>
          <w:tcPr>
            <w:tcW w:w="600" w:type="dxa"/>
          </w:tcPr>
          <w:p>
            <w:r>
              <w:rPr>
                <w:b/>
                <w:sz w:val="17"/>
              </w:rPr>
              <w:t xml:space="preserve">Z-42</w:t>
            </w:r>
          </w:p>
        </w:tc>
        <w:tc>
          <w:tcPr>
            <w:tcW w:w="1600" w:type="dxa"/>
          </w:tcPr>
          <w:p>
            <w:r>
              <w:rPr>
                <w:b/>
                <w:sz w:val="17"/>
              </w:rPr>
              <w:t xml:space="preserve">АСУТП всех лотов</w:t>
            </w:r>
          </w:p>
          <w:p>
            <w:r>
              <w:rPr>
                <w:color w:val="444444"/>
                <w:sz w:val="16"/>
              </w:rPr>
              <w:t xml:space="preserve">Резерв каналов ввода-вывода 30 %</w:t>
            </w:r>
          </w:p>
        </w:tc>
        <w:tc>
          <w:tcPr>
            <w:tcW w:w="4600" w:type="dxa"/>
          </w:tcPr>
          <w:p>
            <w:r>
              <w:rPr>
                <w:sz w:val="17"/>
              </w:rPr>
              <w:t xml:space="preserve">Резерв каналов ввода-вывода контроллеров и портов сети не менее 30 % по всем лотам (норматив Прил. №5); резерв выдерживается при каждом добавлении точек учёта и диагностики настоящего реестра — контроллеры не пересчитываются.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— реестры сигналов</w:t>
            </w:r>
          </w:p>
          <w:p>
            <w:r>
              <w:rPr>
                <w:sz w:val="16"/>
              </w:rPr>
              <w:t xml:space="preserve">— спецификации шкафов АСУТП</w:t>
            </w:r>
          </w:p>
          <w:p>
            <w:r>
              <w:rPr>
                <w:sz w:val="16"/>
              </w:rPr>
              <w:t xml:space="preserve">— схема сети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Все закладки реестра подключаются в штатный запас; исчерпание резерва означало бы замену шкафов под каждую надстройку.</w:t>
            </w:r>
          </w:p>
        </w:tc>
        <w:tc>
          <w:tcPr>
            <w:tcW w:w="1770" w:type="dxa"/>
          </w:tcPr>
          <w:p>
            <w:r>
              <w:rPr>
                <w:color w:val="666666"/>
                <w:sz w:val="15"/>
              </w:rPr>
              <w:t xml:space="preserve">Реестр идей ред. 2.0, разд. 1 пп. 11, 37, 40 (норматив Прил. №5)</w:t>
            </w:r>
          </w:p>
          <w:p>
            <w:r>
              <w:rPr>
                <w:b/>
                <w:sz w:val="15"/>
              </w:rPr>
              <w:t xml:space="preserve">внесено в БИ</w:t>
            </w:r>
          </w:p>
        </w:tc>
      </w:tr>
      <w:tr>
        <w:tc>
          <w:tcPr>
            <w:tcW w:w="600" w:type="dxa"/>
          </w:tcPr>
          <w:p>
            <w:r>
              <w:rPr>
                <w:b/>
                <w:sz w:val="17"/>
              </w:rPr>
              <w:t xml:space="preserve">Z-43</w:t>
            </w:r>
          </w:p>
        </w:tc>
        <w:tc>
          <w:tcPr>
            <w:tcW w:w="1600" w:type="dxa"/>
          </w:tcPr>
          <w:p>
            <w:r>
              <w:rPr>
                <w:b/>
                <w:sz w:val="17"/>
              </w:rPr>
              <w:t xml:space="preserve">Серверная</w:t>
            </w:r>
          </w:p>
          <w:p>
            <w:r>
              <w:rPr>
                <w:color w:val="444444"/>
                <w:sz w:val="16"/>
              </w:rPr>
              <w:t xml:space="preserve">Серверные места с питанием I категории</w:t>
            </w:r>
          </w:p>
        </w:tc>
        <w:tc>
          <w:tcPr>
            <w:tcW w:w="4600" w:type="dxa"/>
          </w:tcPr>
          <w:p>
            <w:r>
              <w:rPr>
                <w:sz w:val="17"/>
              </w:rPr>
              <w:t xml:space="preserve">Посадочные места, питание I категории и охлаждение под аналитические серверы и СХД секундного архива — в спецификации серверной; резерв портов коммутаторов сети.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— спецификация серверной</w:t>
            </w:r>
          </w:p>
          <w:p>
            <w:r>
              <w:rPr>
                <w:sz w:val="16"/>
              </w:rPr>
              <w:t xml:space="preserve">— раздел электроснабжения</w:t>
            </w:r>
          </w:p>
          <w:p>
            <w:r>
              <w:rPr>
                <w:sz w:val="16"/>
              </w:rPr>
              <w:t xml:space="preserve">— раздел сетей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Вычислительная инфраструктура надстроек (советчики, балансовый монитор, ЛИМС) ставится в готовые места без реконструкции серверной.</w:t>
            </w:r>
          </w:p>
        </w:tc>
        <w:tc>
          <w:tcPr>
            <w:tcW w:w="1770" w:type="dxa"/>
          </w:tcPr>
          <w:p>
            <w:r>
              <w:rPr>
                <w:color w:val="666666"/>
                <w:sz w:val="15"/>
              </w:rPr>
              <w:t xml:space="preserve">Реестр идей ред. 2.0, разд. 1 п. 39; разд. 2 п. 1 (подготовка)</w:t>
            </w:r>
          </w:p>
          <w:p>
            <w:r>
              <w:rPr>
                <w:b/>
                <w:sz w:val="15"/>
              </w:rPr>
              <w:t xml:space="preserve">внесено в БИ</w:t>
            </w:r>
          </w:p>
        </w:tc>
      </w:tr>
      <w:tr>
        <w:tc>
          <w:tcPr>
            <w:tcW w:w="600" w:type="dxa"/>
          </w:tcPr>
          <w:p>
            <w:r>
              <w:rPr>
                <w:b/>
                <w:sz w:val="17"/>
              </w:rPr>
              <w:t xml:space="preserve">Z-44</w:t>
            </w:r>
          </w:p>
        </w:tc>
        <w:tc>
          <w:tcPr>
            <w:tcW w:w="1600" w:type="dxa"/>
          </w:tcPr>
          <w:p>
            <w:r>
              <w:rPr>
                <w:b/>
                <w:sz w:val="17"/>
              </w:rPr>
              <w:t xml:space="preserve">Испытания и пуск</w:t>
            </w:r>
          </w:p>
          <w:p>
            <w:r>
              <w:rPr>
                <w:color w:val="444444"/>
                <w:sz w:val="16"/>
              </w:rPr>
              <w:t xml:space="preserve">Машиночитаемые ПМИ и перечни блокировок</w:t>
            </w:r>
          </w:p>
        </w:tc>
        <w:tc>
          <w:tcPr>
            <w:tcW w:w="4600" w:type="dxa"/>
          </w:tcPr>
          <w:p>
            <w:r>
              <w:rPr>
                <w:sz w:val="17"/>
              </w:rPr>
              <w:t xml:space="preserve">Программы и методики испытаний всех лотов — в машиночитаемой структуре «шаг — регистрируемые теги — критерий приёмки — форма акта»; машиночитаемый перечень блокировок; модуль пусковых карт — в ТЗ на АСУТП; требование к комплектным поставщикам передавать ПМИ в структурированном электронном виде, а не сканами; помещение штаба пуска с рабочими местами — в компоновке.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— ТЗ на АСУТП (ГОСТ 34.602)</w:t>
            </w:r>
          </w:p>
          <w:p>
            <w:r>
              <w:rPr>
                <w:sz w:val="16"/>
              </w:rPr>
              <w:t xml:space="preserve">— ОЛ комплектных поставок</w:t>
            </w:r>
          </w:p>
          <w:p>
            <w:r>
              <w:rPr>
                <w:sz w:val="16"/>
              </w:rPr>
              <w:t xml:space="preserve">— программы испытаний</w:t>
            </w:r>
          </w:p>
          <w:p>
            <w:r>
              <w:rPr>
                <w:sz w:val="16"/>
              </w:rPr>
              <w:t xml:space="preserve">— компоновка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Экономия двух-трёх инженеров-документалистов на 4–6 мес ПНР и 5–10 суток на стыках этапов; гарантийные показатели считаются автоматически из аттестованных каналов, а не оспариваются задним числом.</w:t>
            </w:r>
          </w:p>
        </w:tc>
        <w:tc>
          <w:tcPr>
            <w:tcW w:w="1770" w:type="dxa"/>
          </w:tcPr>
          <w:p>
            <w:r>
              <w:rPr>
                <w:color w:val="666666"/>
                <w:sz w:val="15"/>
              </w:rPr>
              <w:t xml:space="preserve">Реестр идей ред. 2.0, разд. 1 п. 44; разд. 2 п. 3 (подготовка)</w:t>
            </w:r>
          </w:p>
          <w:p>
            <w:r>
              <w:rPr>
                <w:b/>
                <w:sz w:val="15"/>
              </w:rPr>
              <w:t xml:space="preserve">внесено в БИ</w:t>
            </w:r>
          </w:p>
        </w:tc>
      </w:tr>
      <w:tr>
        <w:tc>
          <w:tcPr>
            <w:tcW w:w="600" w:type="dxa"/>
          </w:tcPr>
          <w:p>
            <w:r>
              <w:rPr>
                <w:b/>
                <w:sz w:val="17"/>
              </w:rPr>
              <w:t xml:space="preserve">Z-45</w:t>
            </w:r>
          </w:p>
        </w:tc>
        <w:tc>
          <w:tcPr>
            <w:tcW w:w="1600" w:type="dxa"/>
          </w:tcPr>
          <w:p>
            <w:r>
              <w:rPr>
                <w:b/>
                <w:sz w:val="17"/>
              </w:rPr>
              <w:t xml:space="preserve">Комплектные поставки КНР</w:t>
            </w:r>
          </w:p>
          <w:p>
            <w:r>
              <w:rPr>
                <w:color w:val="444444"/>
                <w:sz w:val="16"/>
              </w:rPr>
              <w:t xml:space="preserve">Двуязычные ПМИ и удалённая приёмка</w:t>
            </w:r>
          </w:p>
        </w:tc>
        <w:tc>
          <w:tcPr>
            <w:tcW w:w="4600" w:type="dxa"/>
          </w:tcPr>
          <w:p>
            <w:r>
              <w:rPr>
                <w:sz w:val="17"/>
              </w:rPr>
              <w:t xml:space="preserve">Пункты удалённой заводской приёмки (прогон КСМ на полном такте 120 листов/ч по согласованному чек-листу с видеофиксацией), двуязычные русско-английские программы и методики испытаний и поддержка не менее 2 лет — в ОЛ всех комплектных поставщиков КНР; канал и шлюз — в разделе сетей; типовая схема доступа — в разделе информационной безопасности, согласуется с Заказчиком на стадии БИ, а не в период пуска.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— ОЛ комплектных поставок КНР</w:t>
            </w:r>
          </w:p>
          <w:p>
            <w:r>
              <w:rPr>
                <w:sz w:val="16"/>
              </w:rPr>
              <w:t xml:space="preserve">— раздел сетей</w:t>
            </w:r>
          </w:p>
          <w:p>
            <w:r>
              <w:rPr>
                <w:sz w:val="16"/>
              </w:rPr>
              <w:t xml:space="preserve">— раздел информационной безопасности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Снижение риска принять несоответствующую машину, экономия трёх-пяти очных выездов (5–15 млн ₽) и исполнимость гарантийной поддержки: диагностика по видео и данным в день обращения.</w:t>
            </w:r>
          </w:p>
        </w:tc>
        <w:tc>
          <w:tcPr>
            <w:tcW w:w="1770" w:type="dxa"/>
          </w:tcPr>
          <w:p>
            <w:r>
              <w:rPr>
                <w:color w:val="666666"/>
                <w:sz w:val="15"/>
              </w:rPr>
              <w:t xml:space="preserve">Реестр идей ред. 2.0, разд. 3 п. 3 (закладная часть)</w:t>
            </w:r>
          </w:p>
          <w:p>
            <w:r>
              <w:rPr>
                <w:b/>
                <w:sz w:val="15"/>
              </w:rPr>
              <w:t xml:space="preserve">внесено в БИ</w:t>
            </w:r>
          </w:p>
        </w:tc>
      </w:tr>
      <w:tr>
        <w:tc>
          <w:tcPr>
            <w:tcW w:w="600" w:type="dxa"/>
          </w:tcPr>
          <w:p>
            <w:r>
              <w:rPr>
                <w:b/>
                <w:sz w:val="17"/>
              </w:rPr>
              <w:t xml:space="preserve">Z-46</w:t>
            </w:r>
          </w:p>
        </w:tc>
        <w:tc>
          <w:tcPr>
            <w:tcW w:w="1600" w:type="dxa"/>
          </w:tcPr>
          <w:p>
            <w:r>
              <w:rPr>
                <w:b/>
                <w:sz w:val="17"/>
              </w:rPr>
              <w:t xml:space="preserve">Межлотовые границы</w:t>
            </w:r>
          </w:p>
          <w:p>
            <w:r>
              <w:rPr>
                <w:color w:val="444444"/>
                <w:sz w:val="16"/>
              </w:rPr>
              <w:t xml:space="preserve">Карта точек учёта и балансовый контур</w:t>
            </w:r>
          </w:p>
        </w:tc>
        <w:tc>
          <w:tcPr>
            <w:tcW w:w="4600" w:type="dxa"/>
          </w:tcPr>
          <w:p>
            <w:r>
              <w:rPr>
                <w:sz w:val="17"/>
              </w:rPr>
              <w:t xml:space="preserve">Карта точек учёта на межлотовых границах: расходомеры-плотномеры богатого фильтрата и бедного электролита, весы огарка и пылей — дополнением перечня линий (без них баланс металла не сведётся); выделенный «балансовый контур» приборов с классами точности и поверкой; такт архивирования не реже минуты; 15–20 балансовых точек водных контуров, 4–6 кондуктометров-индикаторов перетока и прямые участки DN150–350 — в ведомости линий.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— перечень линий</w:t>
            </w:r>
          </w:p>
          <w:p>
            <w:r>
              <w:rPr>
                <w:sz w:val="16"/>
              </w:rPr>
              <w:t xml:space="preserve">— спецификация КИП</w:t>
            </w:r>
          </w:p>
          <w:p>
            <w:r>
              <w:rPr>
                <w:sz w:val="16"/>
              </w:rPr>
              <w:t xml:space="preserve">— ТЗ на АСУТП</w:t>
            </w:r>
          </w:p>
          <w:p>
            <w:r>
              <w:rPr>
                <w:sz w:val="16"/>
              </w:rPr>
              <w:t xml:space="preserve">— интерфейсные карты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Ежесуточное сведение балансов металла и воды: утечка или перелив видны за часы вместо недель (1 % потерь кислого контура — 45 тыс. м³/год с кислотой мимо контура); инструментальная доказательная база бессточности.</w:t>
            </w:r>
          </w:p>
        </w:tc>
        <w:tc>
          <w:tcPr>
            <w:tcW w:w="1770" w:type="dxa"/>
          </w:tcPr>
          <w:p>
            <w:r>
              <w:rPr>
                <w:color w:val="666666"/>
                <w:sz w:val="15"/>
              </w:rPr>
              <w:t xml:space="preserve">Реестр идей ред. 2.0, разд. 1 пп. 36, 37, 40</w:t>
            </w:r>
          </w:p>
          <w:p>
            <w:r>
              <w:rPr>
                <w:b/>
                <w:sz w:val="15"/>
              </w:rPr>
              <w:t xml:space="preserve">внесено в БИ</w:t>
            </w:r>
          </w:p>
        </w:tc>
      </w:tr>
    </w:tbl>
    <w:p>
      <w:pPr>
        <w:pStyle w:val="Muted"/>
      </w:pPr>
      <w:r>
        <w:rPr>
          <w:color w:val="666666"/>
          <w:sz w:val="16"/>
        </w:rPr>
        <w:t xml:space="preserve">Сформировано ove/tools/build_zakladki.py из ove/data/zakladki.json (реестр закладных решений); источник формулировок — «Реестр предложений по повышению эффективности, автоматизации и контролю», ред. 2.0 от 28.08.2026 (разд. 1 — базовый состав, разд. 2 — «Подготовка в базовом составе», разд. 3 — закладные части).</w:t>
      </w:r>
    </w:p>
    <w:sectPr>
      <w:pgSz w:w="16838" w:h="11906" w:orient="landscape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ООО «КВАНТ» · проект ОВЭ-75</Application>
  <Company>ООО «КВАНТ»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ОВЭ-75 · zakladki vedomost</dc:title>
  <dc:creator>ООО «КВАНТ»</dc:creator>
  <cp:lastModifiedBy>ООО «КВАНТ»</cp:lastModifiedBy>
  <dcterms:created xsi:type="dcterms:W3CDTF">2026-09-01T09:00:00Z</dcterms:created>
  <dcterms:modified xsi:type="dcterms:W3CDTF">2026-09-01T09:00:00Z</dcterms:modified>
</cp:coreProperties>
</file>