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Расчётные приложения к пояснительной записке · Комплекс в целом</w:t>
      </w:r>
    </w:p>
    <w:p>
      <w:r>
        <w:rPr>
          <w:sz w:val="20"/>
        </w:rPr>
        <w:t xml:space="preserve">АО «Кольская ГМК», комплекс «обжиг – выщелачивание – электроэкстракция» производительностью 75 000 т катодной меди в год. К Техническому заданию на Базовый инжиниринг (ред. 4.1 от 25.08.2026); база сверки — исходные данные Заказчика, части 1 и 2.</w:t>
      </w:r>
    </w:p>
    <w:p>
      <w:pPr>
        <w:pStyle w:val="Heading1"/>
      </w:pPr>
      <w:r>
        <w:rPr>
          <w:b/>
          <w:sz w:val="28"/>
        </w:rPr>
        <w:t xml:space="preserve">1. Назначение и порядок расчётов</w:t>
      </w:r>
    </w:p>
    <w:p>
      <w:r>
        <w:rPr>
          <w:sz w:val="20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«к уточнению»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</w:t>
      </w:r>
    </w:p>
    <w:p>
      <w:r>
        <w:rPr>
          <w:sz w:val="20"/>
        </w:rPr>
        <w:t xml:space="preserve">Объём документа: расчётных блоков 21, сверок с исходными данными 40 (сходится 33, в допуске 2, к уточнению 5); вопросов к разработчику исходных данных (Гипроникель) — 11.</w:t>
      </w:r>
    </w:p>
    <w:p/>
    <w:p>
      <w:pPr>
        <w:pStyle w:val="Heading1"/>
      </w:pPr>
      <w:r>
        <w:rPr>
          <w:b/>
          <w:sz w:val="28"/>
        </w:rPr>
        <w:t xml:space="preserve">2. Вопросы к исходным данным по комплексу</w:t>
      </w:r>
    </w:p>
    <w:p>
      <w:r>
        <w:rPr>
          <w:b/>
          <w:sz w:val="21"/>
        </w:rPr>
        <w:t xml:space="preserve">2.1 Газовые потоки ИД — часовые максимумы (K=1,15): тракт и СКЦ проверять именно на них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2.2 Кислород: норма расхода табл. 26 превышает балансовую потребность на ~16 %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2.3 Тепловой эффект обжига 2,378 ГДж/т — запросить расчёт (наша оценка 2,7–2,9)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2.4 Электропотребление лота 1: потребители, не нормированные в ИД табл. 26, дают ≈ +56 % к учтённому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2.5 Cu в медном купоросе 25,7 % &gt; теоретических 25,45 % для CuSO₄·5H₂O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2.6 η в ИД задан неявно (≈89 % из табл. 3.1/4.2) — запросить подтверждение</w:t>
      </w:r>
    </w:p>
    <w:p>
      <w:r>
        <w:rPr>
          <w:b/>
          <w:sz w:val="20"/>
        </w:rPr>
        <w:t xml:space="preserve">Статус вопроса: требует уточнения. </w:t>
      </w:r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2.7 Базис — новое строительство: подтверждён ТЗ v4.1 п.1.3; открыты статус Прил.№6/№7 и генплан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2.8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2.9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2.10 Габарит печи КС найден в ИД ч.1 (стр. 417): конус Ø6000→8390 (полный угол 21°), 583 сопла — модель и CFD-кейс обновлены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2.11 Хлор в электролите 25–30 г/м³ — на пределе стойкости матриц 316L (кампания 6 лет под риском)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3. Гарантийные показатели комплекса: предлагаемые значения</w:t>
      </w:r>
    </w:p>
    <w:p>
      <w:r>
        <w:rPr>
          <w:sz w:val="20"/>
        </w:rPr>
        <w:t xml:space="preserve">Гарантийные значения приняты с запасом к расчётным и действуют при подтверждённых характеристиках сырья и данных изготовителей. Расчётные значения приведены справочно; окончательные гарантии фиксируются по итогам согласования исходных данных и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3200"/>
        <w:gridCol w:w="32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исходные данные</w:t>
            </w:r>
          </w:p>
        </w:tc>
        <w:tc>
          <w:tcPr>
            <w:tcW w:w="3254" w:type="dxa"/>
            <w:shd w:val="clear" w:fill="EFEFEF"/>
          </w:tcPr>
          <w:p>
            <w:r>
              <w:rPr>
                <w:b/>
                <w:sz w:val="19"/>
              </w:rPr>
              <w:t xml:space="preserve">Предлагаемое гарантийное значение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Оценка неопределённости показателей комплекса (метод Монте-Карло, 20 000 прогонов)</w:t>
      </w:r>
    </w:p>
    <w:p>
      <w:r>
        <w:rPr>
          <w:sz w:val="20"/>
        </w:rPr>
        <w:t xml:space="preserve">Доверительные интервалы P10–P90 и рейтинг чувствительности (Спирмен) по 20 000 прогонам модели. Колонка «что уточнять» — какая единица данных схлопывает интервал.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70"/>
        <w:gridCol w:w="1170"/>
        <w:gridCol w:w="1170"/>
        <w:gridCol w:w="1070"/>
        <w:gridCol w:w="2174"/>
      </w:tblGrid>
      <w:tr>
        <w:trPr>
          <w:tblHeader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07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174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5. Расчётные блоки и сверки с исходными данными</w:t>
      </w:r>
    </w:p>
    <w:p>
      <w:pPr>
        <w:pStyle w:val="Heading2"/>
      </w:pPr>
      <w:r>
        <w:rPr>
          <w:b/>
          <w:sz w:val="26"/>
        </w:rPr>
        <w:t xml:space="preserve">5.1 Баланс металлов: приход из составов сырья. Лот №1 «Цех обжига». Блок L1-MET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73 492 т/год; Cu 67,10 / Ni 4,20 / Co 0,22 / Fe 5,24 / S 23,24 %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стр.1, табл. 23 п.62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24 218,5 т/год; Cu 55,00 / Ni 3,00 / Co 0,10 / Fe 3,00 / S 20,00 %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стр.2, табл. 23 п.71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9 181,9 т/год; Cu 94,00 / Ni 2,50 / Co 0,06 / Fe 0,10 / S 0,14 %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табл. 22 стр.3, табл. 23 п.80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5.2 Баланс серы: распределение огарок / пыль / газ. Лот №1 «Цех обжига». Блок L1-S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81 896 т × 0,051 %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стр.4, табл. 23 п.243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пылях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КУ 2,15 % · циклон 2,27 % · ЭФ и унос 3,44 %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стр.5–9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Потери 502 т/год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принята средняя сера шихты 20,52 %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 стр.12; допущение КВАНТ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5.3 Газовый тракт: объём SO₂ и коэффициент максимума 1,15. Лот №1 «Цех обжига». Блок L1-GAS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21 309,9 т/год (наш баланс L1-S)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Фонд времени печи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7 920 ч/год (330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Внутрипечной газ (макс.)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12 129 нм³/ч, SO₂ 17,83 %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(баланс обжига)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к материалам Базового инжиниринга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5.4 Кислородный баланс печи КС. Лот №1 «Цех обжига». Блок L1-O2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37,121 млн нм³/год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52,708 млн нм³/год (O₂ 20,95 %)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Твёрдые продукты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огарок 81 896 + пыль 20 175 + потери 502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Газ на СКЦ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13 262 нм³/ч (макс.), O₂ 16,33 %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п.400–401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p>
      <w:r>
        <w:rPr>
          <w:b/>
          <w:sz w:val="20"/>
        </w:rPr>
        <w:t xml:space="preserve">O₂ воздуха подсосов (вычитается: поступает в тракт, а не с дутьём печи):  </w:t>
      </w:r>
      <w:r>
        <w:rPr>
          <w:sz w:val="20"/>
        </w:rPr>
        <w:t xml:space="preserve">(13 262 − 12 129)/1,15 × 7 920 × 0,2095 = 1,63 млн нм³</w:t>
      </w:r>
    </w:p>
    <w:p>
      <w:r>
        <w:rPr>
          <w:b/>
          <w:sz w:val="20"/>
        </w:rPr>
        <w:t xml:space="preserve">Балансовая потребность за вычетом O₂ подсосов:  </w:t>
      </w:r>
      <w:r>
        <w:rPr>
          <w:sz w:val="20"/>
        </w:rPr>
        <w:t xml:space="preserve">26,80 + 14,91 − 1,63 = 40,08 млн нм³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Подача O₂ vs сведение баланса (SO₂ + твёрдые + газ, за вычетом O₂ подсосов), млн нм³/год — норма подачи превышает балансовую потребность ~ на 16 %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СКЦ, за вычетом O₂ подсосов ≈1,63 млн нм³)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5.5 Тепловой эффект обжига: независимая оценка по энтальпиям. Лот №1 «Цех обжига». Блок L1-HEAT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сульфидная концентрата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17 079,5 т (халькозин-борнит, модель Cu₂S)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п.62; вещественный состав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Сера сульфидная кека NNH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3 904,0 т (ковеллин CuS); сульфатная 3,88 % не горит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п.71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Металлическая медь цементной меди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7 125,2 т (77,6 %) → CuO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п.80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ΔH реакций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Cu₂S+2O₂→2CuO+SO₂: −531,9; CuS+1,5O₂→CuO+SO₂: −401,0; Cu+½O₂→CuO: −157,3 кДж/моль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стандартные энтальпии образования (справочные)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5.6 Пар котла-утилизатора: энтальпийная сверка. Лот №1 «Цех обжига». Блок L1-STEAM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Тепловосприятие КУ (осн.)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11,30 ГДж/ч (газ 882,8 → 400 °C)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п.278–281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Пар 1,9 МПа, 375 °C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h ≈ 3 190 кДж/кг; питательная вода 105 °C: h ≈ 440 кДж/кг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таблицы водяного пара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МДж/ч ÷ (3 190 − 440) = 4,109 т/ч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5.7 Электрика лота 1: досчёт потребителей, не нормированных в ИД. Лот №1 «Цех обжига». Блок L1-EL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Учтено в ИД табл. 26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≈4,95 млн кВт·ч/год (средняя ≈625 кВт: 0,4 кВ 192 + дымосос 400 + ЭФ 32)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26; сводка по Базовому инжинирингу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Воздуходувка (НЕ нормирована)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52,708 / 99,887 млн нм³/год, 0,09–0,12 МПа изб.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 (объёмы дутья); прямое указание ИД «досчитываются на стадии БИ»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Вакуум-насосы и аспирация (НЕ нормированы)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фильтрация 2×20 м²; аспирация 25–40 тыс.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по аналогам (Class 5)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≈7,7 млн кВт·ч (976 кВт × 7 920 ч; 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5.8 Медь купоросного передела и стехиометрия пентагидрата. Лот №2 «Участок получения купороса». Блок L2-CU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42,2 тыс. м³/год, Cu 102,9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14 139 т/год, Cu 25,7 % (сухой)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4.2; ИД ч.2 табл. 3.1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11,81 тыс. м³/год, Cu 60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т/год (≈0,001 % входа) — сходится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5.9 Баланс никеля купоросного передела. Лот №2 «Участок получения купороса». Блок L2-NI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Ni входа с фильтратом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42,2 тыс. м³ × 20,6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Ni продуктов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смешанный купорос 11,47 %, медный купорос 0,29 %, маточник-2 30,5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4.2; ИД ч.2 п. 1.4.2.2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5.10 Выпарка: соотношение пар/испарённая вода. Лот №2 «Участок получения купороса». Блок L2-EVAP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Испарённая вода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27–28 тыс. т/год (3,3–3,4 т/ч)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36,3 тыс. т/год (глухой 3,0 + острый 1,36 т/ч)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рис. 4.4/4.5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5.11 Электроэкстракция: закон Фарадея, ток, напряжение, мощность. Лот №3 «Отделение электроэкстракции». Блок L3-FARADEY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кг/ч; 75 000 т/год номинал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Ванны и катоды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180 ванн (2×90); 84 матрицы/ванну ≈ 1,0×1,0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п. 1.3.9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1 942 кВт·ч/т (134 484 тыс. кВт·ч/год)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Выход по току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η = 89 % (из ИД: 49,49 кг/ч при 47,04 кА; U_в = 2,05 В при w = 1 942 кВт·ч/т)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3.1/4.2 (задан неявно) — см. п.6 раздела 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5.12 Контур растворов: смешение и съём меди. Лот №3 «Отделение электроэкстракции». Блок L3-MIX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Богатый фильтрат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102,9 кг/м³ Cu; отсечка в контур 124,7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4.1; ИД ч.2 табл. 3.1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Оборотный (бедный)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35 кг/м³ Cu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Питание ванн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40 кг/м³ (съём 5 кг/м³); поток 1 600–1 650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04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5.13 Потоки склада готовой продукции. Лот №4 «Склад готовой продукции». Блок L4-PACK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75 000 т/год; пакет 2 500 ± 50 кг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ТЗ; ИД п. 1.3.11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Режим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358 сут/год; полувагон 27 пакетов (67,5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5.3; расчёт БИ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5.14 Новый корпус электроэкстракции: компоновка расчётом (сценарий «новое строительство»). Лот №3 «Отделение электроэкстракции». Блок L3-NB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Базис размещения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новое строительство на свободной территории (ТЗ v4.1 п.1.3 от 25.08.2026)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п.1.3; остаточное противоречие внутри v4.1 — см. п.7 раздела 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180 шт. (2 серии × 90, ряды по 45); 84 катода/ванну, шаг 95 мм (прил. В ДЕЛЬТА)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п. 1.3.9;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Кран и отметки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мостовые краны над ваннами; подъём матрицы ≈1,3 м + траверса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практика tankhouse; ИД ч.2 (КСМ)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5.15 Стоимость нового строительства (базис ТЗ v4.1 п.1.3). Комплекс в целом. Блок X-NB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Объёмы L3-NB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ЭЭ+электролитное 128 тыс. м³; купорос 16; склад 32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L3-NB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Удельники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45–65 тыс. ₽/м³ (промкаркас, V снеговой район, сети в здании); ЭЭ ×1,15 (кислотостойкие полы и фундаменты ванн); склад 40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Class 5 по аналогам 2025–2026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5.16 Сводная электрическая нагрузка комплекса (для ТУ). Комплекс в целом. Блок EL-TOTAL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Составляющие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Лот 1 (обжиг): ср, 0,98 МВт; Лот 2 (купорос): ср, 0,19 МВт; Лот 3 (ЭЭ: выпрямление + вспом,): ср, 16,07 МВт; Лот 4 (склад): ср, 0,08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табл. 8.5 + досчёты КВАНТ (L1-EL, L3-FARADEY)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5.17 Укрупнённый объём сигналов АСУТП (для выбора контроллеров). Комплекс в целом. Блок IO-TOTAL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перечень оборудования БИ (70 позиций) × типовые наборы сигналов на агрегат/контур + 30 % запас (Прил.5)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перечень оборудования БИ; Прил. №5 (запас модулей ввода/вывода ≥30 %)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5.18 Сквозной баланс меди: сырьё лота 1 → катодная медь лота 3. Комплекс в целом. Блок X-CU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Приход Cu в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71 264,3 т/год (наш L1-MET)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 по 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Уходы мимо катода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потери 0,47 % · смешанный купорос (9,79 % Cu → NNH) · маточник-2 (в ЦЭН)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ТЗ п. 4.2; ИД ч.2 п. 1.4.2.2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Расчётная катодная ИД ч.2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 × 8 584,8 ч = 69 246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5.19 Кислотная точка росы газов (коррозионная граница тракта). Лот №1 «Цех обжига». Блок L1-DEW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 газа на СКЦ (осн./вспом.)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H₂O 19,27/13,26 %; SO₃ 0,718/0,437 %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п.400–403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Метод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корреляция Verhoff–Banchero (H₂SO₄-точка росы по парциальным давлениям)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справочная корреляция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218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210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169 °C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169,1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+12,7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218 °C (осн.) — в номинале тракт сухой, но конденсация начнётся на любой стенке холоднее ≈218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5.20 Печь КС: проверка фактической геометрии HATCH нашей моделью. Лот №1 «Цех обжига». Блок L1-BED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Геометрия печи (ИД ч.1, стр. 417–418)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конус 21° (полный угол; уклон 0,18527 на сторону): Ø6000 подина → Ø8390 газоход; высота конуса 6 450; решётка 583 сопла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ч.1 разд. 2.3 (конструкция HATCH)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Время пребывания / огарок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 ч при 930 °C; 10,34 т/ч номинал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2.3; табл. 22/23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Плотность псевдоожиженного слоя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≈1,3 т/м³ (вспученное состояние)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V(h), уклон 0,18527 на сторону):  </w:t>
      </w:r>
      <w:r>
        <w:rPr>
          <w:sz w:val="20"/>
        </w:rPr>
        <w:t xml:space="preserve">h ≈ 2,21 м; зеркало слоя Ø 6,82 м (36,5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323,9 т/сут ÷ 36,5 м² = 8,86 т/(м²·сут)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~2,2 м — в типовом диапазоне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2,21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+10,75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Напряжённость по зеркалу слоя, т/(м²·сут) — ВЫШЕ диапазона 4–8 (по подине была бы 11,5; конус смягчает, но не выводит в норму) — запас площади пода вынесен вопросом Гипроникелю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8,86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+26,64</w:t>
            </w:r>
          </w:p>
        </w:tc>
        <w:tc>
          <w:tcPr>
            <w:tcW w:w="1504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Пересчёт на фактической геометрии HATCH с корректным уклоном 0,18527 на сторону (21° по ИД — полный угол конуса Ø6000→Ø8390/6450): слой ~2,2 м, зеркало Ø6,8 м (36,5 м²), напряжённость 8,86 т/(м²·сут) — ВЫШЕ диапазона мировой практики 4–8: запас площади пода/зеркала требует подтверждения Гипроникелем (базис HATCH). Конус по-прежнему решает сепарацию (скорость газа падает к газоходу) — см.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5.21 Гидродинамика слоя КС (пред-CFD): скорости и механизм уноса. Лот №1 «Цех обжига». Блок L1-FLUID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Частицы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огарок 449 мкм (слой), концентрат 25,5 мкм (свежая шихта); ρ ≈ 5 300 кг/м³ (оценка)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23 (крупности); оценка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Газ в слое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930 °C; ρ = 0,304 кг/м³; μ = 4,6·10⁻⁵ Па·с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справочные свойства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Сечения конусной печи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подина 28 м² → зеркало слоя 36,5 м² → газоход 55 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подина и газоход — ИД ч.1 стр. 417 (геометрия HATCH); зеркало слоя — расчёт КВАНТ (L1-BED)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0,35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2,6 — конус гасит скорость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2,58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+28,8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8,69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+73,85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Перечень того, что определяется на стадии БИ: базис исходных данных, требующий подтверждения разработчиком ИД; сверки, не закрытые расчётом; данные, уточнение которых сужает расчётные интервалы.</w:t>
      </w:r>
    </w:p>
    <w:p>
      <w:r>
        <w:rPr>
          <w:b/>
          <w:sz w:val="21"/>
        </w:rPr>
        <w:t xml:space="preserve">Подтверждение базиса исходных данных</w:t>
      </w:r>
    </w:p>
    <w:p>
      <w:r>
        <w:rPr>
          <w:b/>
          <w:sz w:val="19"/>
        </w:rPr>
        <w:t xml:space="preserve">1. </w:t>
      </w:r>
      <w:r>
        <w:rPr>
          <w:sz w:val="19"/>
        </w:rPr>
        <w:t xml:space="preserve">Газовые потоки ИД — часовые максимумы (K=1,15): тракт и СКЦ проверять именно на них (к сведению).</w:t>
      </w:r>
    </w:p>
    <w:p>
      <w:r>
        <w:rPr>
          <w:b/>
          <w:sz w:val="19"/>
        </w:rPr>
        <w:t xml:space="preserve">2. </w:t>
      </w:r>
      <w:r>
        <w:rPr>
          <w:sz w:val="19"/>
        </w:rPr>
        <w:t xml:space="preserve">Кислород: норма расхода табл. 26 превышает балансовую потребность на ~16 % (существенный).</w:t>
      </w:r>
    </w:p>
    <w:p>
      <w:r>
        <w:rPr>
          <w:b/>
          <w:sz w:val="19"/>
        </w:rPr>
        <w:t xml:space="preserve">3. </w:t>
      </w:r>
      <w:r>
        <w:rPr>
          <w:sz w:val="19"/>
        </w:rPr>
        <w:t xml:space="preserve">Тепловой эффект обжига 2,378 ГДж/т — запросить расчёт (наша оценка 2,7–2,9) (существенный).</w:t>
      </w:r>
    </w:p>
    <w:p>
      <w:r>
        <w:rPr>
          <w:b/>
          <w:sz w:val="19"/>
        </w:rPr>
        <w:t xml:space="preserve">4. </w:t>
      </w:r>
      <w:r>
        <w:rPr>
          <w:sz w:val="19"/>
        </w:rPr>
        <w:t xml:space="preserve">Электропотребление лота 1: потребители, не нормированные в ИД табл. 26, дают ≈ +56 % к учтённому (существенный).</w:t>
      </w:r>
    </w:p>
    <w:p>
      <w:r>
        <w:rPr>
          <w:b/>
          <w:sz w:val="19"/>
        </w:rPr>
        <w:t xml:space="preserve">5. </w:t>
      </w:r>
      <w:r>
        <w:rPr>
          <w:sz w:val="19"/>
        </w:rPr>
        <w:t xml:space="preserve">Cu в медном купоросе 25,7 % &gt; теоретических 25,45 % для CuSO₄·5H₂O (существенный).</w:t>
      </w:r>
    </w:p>
    <w:p>
      <w:r>
        <w:rPr>
          <w:b/>
          <w:sz w:val="19"/>
        </w:rPr>
        <w:t xml:space="preserve">6. </w:t>
      </w:r>
      <w:r>
        <w:rPr>
          <w:sz w:val="19"/>
        </w:rPr>
        <w:t xml:space="preserve">η в ИД задан неявно (≈89 % из табл. 3.1/4.2) — запросить подтверждение (требует уточнения).</w:t>
      </w:r>
    </w:p>
    <w:p>
      <w:r>
        <w:rPr>
          <w:b/>
          <w:sz w:val="19"/>
        </w:rPr>
        <w:t xml:space="preserve">7. </w:t>
      </w:r>
      <w:r>
        <w:rPr>
          <w:sz w:val="19"/>
        </w:rPr>
        <w:t xml:space="preserve">Базис — новое строительство: подтверждён ТЗ v4.1 п.1.3; открыты статус Прил.№6/№7 и генплан (существенный).</w:t>
      </w:r>
    </w:p>
    <w:p>
      <w:r>
        <w:rPr>
          <w:b/>
          <w:sz w:val="19"/>
        </w:rPr>
        <w:t xml:space="preserve">8. </w:t>
      </w:r>
      <w:r>
        <w:rPr>
          <w:sz w:val="19"/>
        </w:rPr>
        <w:t xml:space="preserve">Титульная производительность 75 000 т/год требует сырьевого баланса сверх ИД табл. 22 (расчётная обеспеченность ≈94 %) (существенный).</w:t>
      </w:r>
    </w:p>
    <w:p>
      <w:r>
        <w:rPr>
          <w:b/>
          <w:sz w:val="19"/>
        </w:rPr>
        <w:t xml:space="preserve">9. </w:t>
      </w:r>
      <w:r>
        <w:rPr>
          <w:sz w:val="19"/>
        </w:rPr>
        <w:t xml:space="preserve">Кислотная точка росы газов ≈218/210 °C — заложить требования к стенкам тракта (≥240 °C) и продувке при остановках (существенный).</w:t>
      </w:r>
    </w:p>
    <w:p>
      <w:r>
        <w:rPr>
          <w:b/>
          <w:sz w:val="19"/>
        </w:rPr>
        <w:t xml:space="preserve">10. </w:t>
      </w:r>
      <w:r>
        <w:rPr>
          <w:sz w:val="19"/>
        </w:rPr>
        <w:t xml:space="preserve">Габарит печи КС найден в ИД ч.1 (стр. 417): конус Ø6000→8390 (полный угол 21°), 583 сопла — модель и CFD-кейс обновлены (к сведению).</w:t>
      </w:r>
    </w:p>
    <w:p>
      <w:r>
        <w:rPr>
          <w:b/>
          <w:sz w:val="19"/>
        </w:rPr>
        <w:t xml:space="preserve">11. </w:t>
      </w:r>
      <w:r>
        <w:rPr>
          <w:sz w:val="19"/>
        </w:rPr>
        <w:t xml:space="preserve">Хлор в электролите 25–30 г/м³ — на пределе стойкости матриц 316L (кампания 6 лет под риском) (существенный).</w:t>
      </w:r>
    </w:p>
    <w:p>
      <w:r>
        <w:rPr>
          <w:b/>
          <w:sz w:val="21"/>
        </w:rPr>
        <w:t xml:space="preserve">Сверки, не закрытые расчётом</w:t>
      </w:r>
    </w:p>
    <w:p>
      <w:r>
        <w:rPr>
          <w:b/>
          <w:sz w:val="19"/>
        </w:rPr>
        <w:t xml:space="preserve">12. </w:t>
      </w:r>
      <w:r>
        <w:rPr>
          <w:sz w:val="19"/>
        </w:rPr>
        <w:t xml:space="preserve">Блок L1-O2. Подача O₂ vs сведение баланса (SO₂ + твёрдые + газ, за вычетом O₂ подсосов), млн нм³/год: расчёт КВАНТ 46,7 против 40,1 по ИД (отклонение 16,47 %).</w:t>
      </w:r>
    </w:p>
    <w:p>
      <w:r>
        <w:rPr>
          <w:b/>
          <w:sz w:val="19"/>
        </w:rPr>
        <w:t xml:space="preserve">13. </w:t>
      </w:r>
      <w:r>
        <w:rPr>
          <w:sz w:val="19"/>
        </w:rPr>
        <w:t xml:space="preserve">Блок L1-HEAT. Удельный тепловой эффект, ГДж/т шихты: расчёт КВАНТ 2,86 против 2,38 по ИД (отклонение 20,11 %).</w:t>
      </w:r>
    </w:p>
    <w:p>
      <w:r>
        <w:rPr>
          <w:b/>
          <w:sz w:val="19"/>
        </w:rPr>
        <w:t xml:space="preserve">14. </w:t>
      </w:r>
      <w:r>
        <w:rPr>
          <w:sz w:val="19"/>
        </w:rPr>
        <w:t xml:space="preserve">Блок L1-EL. Дымосос: потребляемая (вспом., Δp 10 кПа) vs нормированная, кВт: расчёт КВАНТ 177,1 против 400,0 по ИД (отклонение -55,74 %).</w:t>
      </w:r>
    </w:p>
    <w:p>
      <w:r>
        <w:rPr>
          <w:b/>
          <w:sz w:val="19"/>
        </w:rPr>
        <w:t xml:space="preserve">15. </w:t>
      </w:r>
      <w:r>
        <w:rPr>
          <w:sz w:val="19"/>
        </w:rPr>
        <w:t xml:space="preserve">Блок L2-CU. Cu в купоросе, % (заявлено vs теория пентагидрата): расчёт КВАНТ 25,7 против 25,4 по ИД (отклонение 0,98 %).</w:t>
      </w:r>
    </w:p>
    <w:p>
      <w:r>
        <w:rPr>
          <w:b/>
          <w:sz w:val="19"/>
        </w:rPr>
        <w:t xml:space="preserve">16. </w:t>
      </w:r>
      <w:r>
        <w:rPr>
          <w:sz w:val="19"/>
        </w:rPr>
        <w:t xml:space="preserve">Блок X-CU. Обеспеченность «75 000 т/год» сырьём, %: расчёт КВАНТ 93,7 против 100,0 по ИД (отклонение -6,33 %).</w:t>
      </w:r>
    </w:p>
    <w:p>
      <w:r>
        <w:rPr>
          <w:b/>
          <w:sz w:val="21"/>
        </w:rPr>
        <w:t xml:space="preserve">Данные, сужающие расчётные интервалы</w:t>
      </w:r>
    </w:p>
    <w:p>
      <w:r>
        <w:rPr>
          <w:b/>
          <w:sz w:val="19"/>
        </w:rPr>
        <w:t xml:space="preserve">17. </w:t>
      </w:r>
      <w:r>
        <w:rPr>
          <w:sz w:val="19"/>
        </w:rPr>
        <w:t xml:space="preserve">Катодная медь, т/год: размах P10–P90 4,2 % — паспорта/планы поставок сырья.</w:t>
      </w:r>
    </w:p>
    <w:p>
      <w:r>
        <w:rPr>
          <w:b/>
          <w:sz w:val="19"/>
        </w:rPr>
        <w:t xml:space="preserve">18. </w:t>
      </w:r>
      <w:r>
        <w:rPr>
          <w:sz w:val="19"/>
        </w:rPr>
        <w:t xml:space="preserve">Пар КУ, т/ч: размах P10–P90 19,2 % — расчёт теплового эффекта Гипроникеля (п.3 раздела 1).</w:t>
      </w:r>
    </w:p>
    <w:p>
      <w:r>
        <w:rPr>
          <w:b/>
          <w:sz w:val="19"/>
        </w:rPr>
        <w:t xml:space="preserve">19. </w:t>
      </w:r>
      <w:r>
        <w:rPr>
          <w:sz w:val="19"/>
        </w:rPr>
        <w:t xml:space="preserve">SO₂ на СКЦ (номинал), %: размах P10–P90 11,8 % — стабильность шихтовки и подсосов.</w:t>
      </w:r>
    </w:p>
    <w:p>
      <w:r>
        <w:rPr>
          <w:b/>
          <w:sz w:val="19"/>
        </w:rPr>
        <w:t xml:space="preserve">20. </w:t>
      </w:r>
      <w:r>
        <w:rPr>
          <w:sz w:val="19"/>
        </w:rPr>
        <w:t xml:space="preserve">Электрика лота 1, млн кВт·ч/год: размах P10–P90 19,2 % — опросные листы воздуходувки/вакуума (п.4 раздела 1).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raschet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