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Расчётная записка (независимый пересчёт КВАНТ)</w:t>
      </w:r>
    </w:p>
    <w:p>
      <w:r>
        <w:rPr>
          <w:sz w:val="20"/>
        </w:rPr>
        <w:t xml:space="preserve">АО «Кольская ГМК», комплекс «обжиг–выщелачивание–электроэкстракция» 75 000 т/год. Сборка 2026-08-27. К ТЗ на БИ v4.1 от 25.08.2026 (историческая база сверок — ИД ч.1/ч.2).</w:t>
      </w:r>
    </w:p>
    <w:p>
      <w:r>
        <w:rPr>
          <w:i/>
          <w:sz w:val="19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«ВОПРОС»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 Инженерная рецензия: [Ф.И.О., дата — заполняется по итогам рецензии до защиты].</w:t>
      </w:r>
    </w:p>
    <w:p>
      <w:r>
        <w:rPr>
          <w:b/>
          <w:sz w:val="21"/>
        </w:rPr>
        <w:t xml:space="preserve">Итого: блоков 21, сверок 40 (сходится 33, в допуске 2, вопросов 5), вопросов к разработчику ИД (Гипроникель) — 11.</w:t>
      </w:r>
    </w:p>
    <w:p/>
    <w:p>
      <w:pPr>
        <w:pStyle w:val="Heading1"/>
      </w:pPr>
      <w:r>
        <w:rPr>
          <w:b/>
          <w:sz w:val="28"/>
        </w:rPr>
        <w:t xml:space="preserve">1. Вопросы к исходным данным</w:t>
      </w:r>
    </w:p>
    <w:p>
      <w:r>
        <w:rPr>
          <w:b/>
          <w:sz w:val="21"/>
        </w:rPr>
        <w:t xml:space="preserve">1. [к сведению] Газовые потоки ИД — часовые максимумы (K=1,15): тракт и СКЦ проверять именно на них</w:t>
      </w:r>
    </w:p>
    <w:p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 [ВАЖНО] Кислород: норма расхода табл. 26 превышает балансовую потребность на ~16 %</w:t>
      </w:r>
    </w:p>
    <w:p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3. [ВАЖНО] Тепловой эффект обжига 2,378 ГДж/т — запросить расчёт (наша оценка 2,7–2,9)</w:t>
      </w:r>
    </w:p>
    <w:p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4. [ВАЖНО] Электропотребление лота 1: потребители, не нормированные в ИД табл. 26, дают ≈ +56 % к учтённому</w:t>
      </w:r>
    </w:p>
    <w:p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5. [ВАЖНО] Cu в медном купоросе 25,7 % &gt; теоретических 25,45 % для CuSO₄·5H₂O</w:t>
      </w:r>
    </w:p>
    <w:p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6. [уточнить] η в ИД задан неявно (≈89 % из табл. 3.1/4.2) — запросить подтверждение</w:t>
      </w:r>
    </w:p>
    <w:p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7. [ВАЖНО] Базис — новое строительство: подтверждён ТЗ v4.1 п.1.3; открыты статус Прил.№6/№7 и генплан</w:t>
      </w:r>
    </w:p>
    <w:p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8. [ВАЖНО]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9. [ВАЖНО]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10. [к сведению] Габарит печи КС найден в ИД ч.1 (стр. 417): конус Ø6000→8390 (полный угол 21°), 583 сопла — модель и CFD-кейс обновлены</w:t>
      </w:r>
    </w:p>
    <w:p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11. [ВАЖНО] Хлор в электролите 25–30 г/м³ — на пределе стойкости матриц 316L (кампания 6 лет под риском)</w:t>
      </w:r>
    </w:p>
    <w:p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2. Гарантийная рамка — консервативные значения для ТКП и договора</w:t>
      </w:r>
    </w:p>
    <w:p>
      <w:r>
        <w:rPr>
          <w:i/>
          <w:sz w:val="19"/>
        </w:rPr>
        <w:t xml:space="preserve">Правило: гарантируем границу с запасом к расчёту; условия — на сырьё и данные изготовителей; расчётные значения — справочные.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300"/>
        <w:gridCol w:w="33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ИД</w:t>
            </w:r>
          </w:p>
        </w:tc>
        <w:tc>
          <w:tcPr>
            <w:tcW w:w="3338" w:type="dxa"/>
            <w:shd w:val="clear" w:fill="EFEFEF"/>
          </w:tcPr>
          <w:p>
            <w:r>
              <w:rPr>
                <w:b/>
                <w:sz w:val="19"/>
              </w:rPr>
              <w:t xml:space="preserve">Гарантия (рекомендация)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3. Неопределённость: Монте-Карло 20 000 прогонов</w:t>
      </w:r>
    </w:p>
    <w:p>
      <w:r>
        <w:rPr>
          <w:i/>
          <w:sz w:val="19"/>
        </w:rPr>
        <w:t xml:space="preserve">Доверительные интервалы P10–P90 и рейтинг чувствительности (Спирмен) по 20 000 прогонам модели. Интервалы определяются входными данными, а не вычислительной мощностью: весь прогон занимает доли секунды на одном ядре. Колонка «что уточнять» — какая единица данных схлопывает интервал.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700"/>
        <w:gridCol w:w="1200"/>
        <w:gridCol w:w="1200"/>
        <w:gridCol w:w="1200"/>
        <w:gridCol w:w="1100"/>
        <w:gridCol w:w="2238"/>
      </w:tblGrid>
      <w:tr>
        <w:tc>
          <w:tcPr>
            <w:tcW w:w="27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Расчётные блоки и сверки</w:t>
      </w:r>
    </w:p>
    <w:p>
      <w:pPr>
        <w:pStyle w:val="Heading2"/>
      </w:pPr>
      <w:r>
        <w:rPr>
          <w:b/>
          <w:sz w:val="26"/>
        </w:rPr>
        <w:t xml:space="preserve">L1-MET · Баланс металлов: приход из составов сырья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Концентрат ОРФ на шихту: 73 492 т/год; Cu 67,10 / Ni 4,20 / Co 0,22 / Fe 5,24 / S 23,24 % [ИД ч.1 табл. 22 стр.1, табл. 23 п.62] · Кек NNH: 24 218,5 т/год; Cu 55,00 / Ni 3,00 / Co 0,10 / Fe 3,00 / S 20,00 % [ИД ч.1 табл. 22 стр.2, табл. 23 п.71] · Цементная медь: 9 181,9 т/год; Cu 94,00 / Ni 2,50 / Co 0,06 / Fe 0,10 / S 0,14 % [ИД ч.1 табл. 22 стр.3, табл. 23 п.80]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L1-S · Баланс серы: распределение огарок / пыль / газ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огарке: 81 896 т × 0,051 % [ИД табл. 22 стр.4, табл. 23 п.243] · Сера в пылях: КУ 2,15 % · циклон 2,27 % · ЭФ и унос 3,44 % [ИД табл. 22 стр.5–9] · Потери 502 т/год: принята средняя сера шихты 20,52 % [ИД табл. 22 стр.12; допущение КВАНТ]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L1-GAS · Газовый тракт: объём SO₂ и коэффициент максимума 1,15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газ: 21 309,9 т/год (наш баланс L1-S) [расчёт КВАНТ] · Фонд времени печи: 7 920 ч/год (330 сут) [ИД ч.1 Прил. В] · Внутрипечной газ (макс.): 12 129 нм³/ч, SO₂ 17,83 % [ИД табл. 23 (баланс обжига)]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черновика БИ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L1-O2 · Кислородный баланс печи КС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Кислород технический 96 %: 37,121 млн нм³/год [ИД табл. 26] · Технологический воздух: 52,708 млн нм³/год (O₂ 20,95 %) [ИД табл. 26] · Твёрдые продукты: огарок 81 896 + пыль 20 175 + потери 502 т [ИД табл. 22] · Газ на СКЦ: 13 262 нм³/ч (макс.), O₂ 16,33 % [ИД табл. 23 п.400–401]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p>
      <w:r>
        <w:rPr>
          <w:b/>
          <w:sz w:val="20"/>
        </w:rPr>
        <w:t xml:space="preserve">O₂ воздуха подсосов (вычитается: поступает в тракт, а не с дутьём печи):  </w:t>
      </w:r>
      <w:r>
        <w:rPr>
          <w:sz w:val="20"/>
        </w:rPr>
        <w:t xml:space="preserve">(13 262 − 12 129)/1,15 × 7 920 × 0,2095 = 1,63 млн нм³</w:t>
      </w:r>
    </w:p>
    <w:p>
      <w:r>
        <w:rPr>
          <w:b/>
          <w:sz w:val="20"/>
        </w:rPr>
        <w:t xml:space="preserve">Балансовая потребность за вычетом O₂ подсосов:  </w:t>
      </w:r>
      <w:r>
        <w:rPr>
          <w:sz w:val="20"/>
        </w:rPr>
        <w:t xml:space="preserve">26,80 + 14,91 − 1,63 = 40,08 млн нм³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Подача O₂ vs сведение баланса (SO₂ + твёрдые + газ, за вычетом O₂ подсосов), млн нм³/год — норма подачи превышает балансовую потребность ~ на 16 %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СКЦ, за вычетом O₂ подсосов ≈1,63 млн нм³)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L1-HEAT · Тепловой эффект обжига: независимая оценка по энтальпиям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сульфидная концентрата: 17 079,5 т (халькозин-борнит, модель Cu₂S) [ИД табл. 23 п.62; вещественный состав] · Сера сульфидная кека NNH: 3 904,0 т (ковеллин CuS); сульфатная 3,88 % не горит [ИД табл. 23 п.71] · Металлическая медь цементной меди: 7 125,2 т (77,6 %) → CuO [ИД табл. 23 п.80] · ΔH реакций: Cu₂S+2O₂→2CuO+SO₂: −531,9; CuS+1,5O₂→CuO+SO₂: −401,0; Cu+½O₂→CuO: −157,3 кДж/моль [стандартные энтальпии образования (справочные)]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L1-STEAM · Пар котла-утилизатора: энтальпийная сверка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Тепловосприятие КУ (осн.): 11,30 ГДж/ч (газ 882,8 → 400 °C) [ИД табл. 23 п.278–281] · Пар 1,9 МПа, 375 °C: h ≈ 3 190 кДж/кг; питательная вода 105 °C: h ≈ 440 кДж/кг [таблицы водяного пара]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МДж/ч ÷ (3 190 − 440) = 4,109 т/ч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L1-EL · Электрика лота 1: досчёт потребителей, не нормированных в ИД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Учтено в ИД табл. 26: ≈4,95 млн кВт·ч/год (средняя ≈625 кВт: 0,4 кВ 192 + дымосос 400 + ЭФ 32) [ИД табл. 26; сводка черновика БИ] · Воздуходувка (НЕ нормирована): 52,708 / 99,887 млн нм³/год, 0,09–0,12 МПа изб. [ИД табл. 26 (объёмы дутья); прямое указание ИД «досчитываются на стадии БИ»] · Вакуум-насосы и аспирация (НЕ нормированы): фильтрация 2×20 м²; аспирация 25–40 тыс. м³/ч [оценка КВАНТ по аналогам (Class 5)]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≈7,7 млн кВт·ч (976 кВт × 7 920 ч; +56 %).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L2-CU · Медь купоросного передела и стехиометрия пентагидрата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Фильтрат на кристаллизацию: 42,2 тыс. м³/год, Cu 102,9 кг/м³ [ТЗ п. 4.1] · Медный купорос: 14 139 т/год, Cu 25,7 % (сухой) [ТЗ п. 4.2; ИД ч.2 табл. 3.1] · Маточник на смешанный купорос: 11,81 тыс. м³/год, Cu 60 кг/м³ [ТЗ п. 4.1]</w:t>
      </w:r>
    </w:p>
    <w:p>
      <w:r>
        <w:rPr>
          <w:b/>
          <w:sz w:val="20"/>
        </w:rPr>
        <w:t xml:space="preserve">Cu входа:  </w:t>
      </w:r>
      <w:r>
        <w:rPr>
          <w:sz w:val="20"/>
        </w:rPr>
        <w:t xml:space="preserve">42 200 × 102,9 = 4 342,4 т/год</w:t>
      </w:r>
    </w:p>
    <w:p>
      <w:r>
        <w:rPr>
          <w:b/>
          <w:sz w:val="20"/>
        </w:rPr>
        <w:t xml:space="preserve">Cu в купорос:  </w:t>
      </w:r>
      <w:r>
        <w:rPr>
          <w:sz w:val="20"/>
        </w:rPr>
        <w:t xml:space="preserve">14 139 × 25,7 % = 3 633,7 т/год</w:t>
      </w:r>
    </w:p>
    <w:p>
      <w:r>
        <w:rPr>
          <w:b/>
          <w:sz w:val="20"/>
        </w:rPr>
        <w:t xml:space="preserve">Cu в маточник-1:  </w:t>
      </w:r>
      <w:r>
        <w:rPr>
          <w:sz w:val="20"/>
        </w:rPr>
        <w:t xml:space="preserve">11 810 × 60 = 708,6 т/год</w:t>
      </w:r>
    </w:p>
    <w:p>
      <w:r>
        <w:rPr>
          <w:b/>
          <w:sz w:val="20"/>
        </w:rPr>
        <w:t xml:space="preserve">Теоретический Cu в CuSO₄·5H₂O:  </w:t>
      </w:r>
      <w:r>
        <w:rPr>
          <w:sz w:val="20"/>
        </w:rPr>
        <w:t xml:space="preserve">63,546 / 249,69 = 25,45 %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Баланс меди: вход − купорос − маточник, т/год — невязка 0,1 т/год (≈0,001 % входа) — сходится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0,057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Cu в купоросе, % (заявлено vs теория пентагидрата) — 25,7 % ВЫШЕ теоретического максимума чистого CuSO₄·5H₂O (25,45 %)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+0,98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Массовый баланс меди сходится. Но заявленный состав купороса 25,7 % Cu превышает стехиометрический максимум пентагидрата (25,45 %): либо продукт частично обезвожен (примесь CuSO₄·H₂O/безводного ~1–2 %), либо базис состава иной. На гарантии качества продукта это влияет напрямую.</w:t>
      </w:r>
    </w:p>
    <w:p/>
    <w:p>
      <w:pPr>
        <w:pStyle w:val="Heading2"/>
      </w:pPr>
      <w:r>
        <w:rPr>
          <w:b/>
          <w:sz w:val="26"/>
        </w:rPr>
        <w:t xml:space="preserve">L2-NI · Баланс никеля купоросного передела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Ni входа с фильтратом: 42,2 тыс. м³ × 20,6 кг/м³ [ТЗ п. 4.1] · Ni продуктов: смешанный купорос 11,47 %, медный купорос 0,29 %, маточник-2 30,5 кг/м³ [ТЗ п. 4.2; ИД ч.2 п. 1.4.2.2]</w:t>
      </w:r>
    </w:p>
    <w:p>
      <w:r>
        <w:rPr>
          <w:b/>
          <w:sz w:val="20"/>
        </w:rPr>
        <w:t xml:space="preserve">Вход:  </w:t>
      </w:r>
      <w:r>
        <w:rPr>
          <w:sz w:val="20"/>
        </w:rPr>
        <w:t xml:space="preserve">869,3 т/год</w:t>
      </w:r>
    </w:p>
    <w:p>
      <w:r>
        <w:rPr>
          <w:b/>
          <w:sz w:val="20"/>
        </w:rPr>
        <w:t xml:space="preserve">Выход:  </w:t>
      </w:r>
      <w:r>
        <w:rPr>
          <w:sz w:val="20"/>
        </w:rPr>
        <w:t xml:space="preserve">763,7 (смеш.) + 54,9 (маточник-2) + 41,0 (медный) = 859,6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Невязка Ni, % входа — 9,7 т/год ≈ 1,1 % — в допуске округлений составов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Никель сводится с невязкой ~1 % — распределение по продуктам согласовано; смешанный купорос уносит 88 % никеля входа, что и требуется для вывода Ni из медного контура.</w:t>
      </w:r>
    </w:p>
    <w:p/>
    <w:p>
      <w:pPr>
        <w:pStyle w:val="Heading2"/>
      </w:pPr>
      <w:r>
        <w:rPr>
          <w:b/>
          <w:sz w:val="26"/>
        </w:rPr>
        <w:t xml:space="preserve">L2-EVAP · Выпарка: соотношение пар/испарённая вода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Испарённая вода: 27–28 тыс. т/год (3,3–3,4 т/ч) [ИД ч.2 табл. 3.1; расчёт БИ] · Пар технологический: 36,3 тыс. т/год (глухой 3,0 + острый 1,36 т/ч) [ИД ч.2 рис. 4.4/4.5]</w:t>
      </w:r>
    </w:p>
    <w:p>
      <w:r>
        <w:rPr>
          <w:b/>
          <w:sz w:val="20"/>
        </w:rPr>
        <w:t xml:space="preserve">GOR (кг воды / кг пара):  </w:t>
      </w:r>
      <w:r>
        <w:rPr>
          <w:sz w:val="20"/>
        </w:rPr>
        <w:t xml:space="preserve">27 500 / 36 300 = 0,76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GOR вакуум-кристаллизации — паровое хозяйство согласовано с технологией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0,760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-0,32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Удельный расход пара соответствует одноступенчатой вакуум-кристаллизации; резерв экономии — механическая рекомпрессия пара (МВР), можно предложить Заказчику как опцию энергоэффективности.</w:t>
      </w:r>
    </w:p>
    <w:p/>
    <w:p>
      <w:pPr>
        <w:pStyle w:val="Heading2"/>
      </w:pPr>
      <w:r>
        <w:rPr>
          <w:b/>
          <w:sz w:val="26"/>
        </w:rPr>
        <w:t xml:space="preserve">L3-FARADEY · Электроэкстракция: закон Фарадея, ток, напряжение, мощность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8 066,1 кг/ч; 75 000 т/год номинал [ИД ч.2 табл. 4.2] · Ванны и катоды: 180 ванн (2×90); 84 матрицы/ванну ≈ 1,0×1,0 м [ИД ч.2 п. 4.2.2, п. 1.3.9] · Удельный расход: 1 942 кВт·ч/т (134 484 тыс. кВт·ч/год) [ИД ч.2 табл. 8.5] · Выход по току: η = 89 % (из ИД: 49,49 кг/ч при 47,04 кА; U_в = 2,05 В при w = 1 942 кВт·ч/т) [ИД ч.2 табл. 3.1/4.2 (задан неявно) — см. п.6 раздела 1]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L3-MIX · Контур растворов: смешение и съём меди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Богатый фильтрат: 102,9 кг/м³ Cu; отсечка в контур 124,7 м³/ч [ТЗ п. 4.1; ИД ч.2 табл. 3.1] · Оборотный (бедный): 35 кг/м³ Cu [ТЗ п. 5.1] · Питание ванн: 40 кг/м³ (съём 5 кг/м³); поток 1 600–1 650 м³/ч [ИД ч.2 табл. 3.1]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L4-PACK · Потоки склада готовой продукции (Лот №4)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75 000 т/год; пакет 2 500 ± 50 кг [ТЗ; ИД п. 1.3.11] · Режим: 358 сут/год; полувагон 27 пакетов (67,5 т) [ТЗ п. 5.3; расчёт БИ]</w:t>
      </w:r>
    </w:p>
    <w:p>
      <w:r>
        <w:rPr>
          <w:b/>
          <w:sz w:val="20"/>
        </w:rPr>
        <w:t xml:space="preserve">Пакетов в год / в сутки:  </w:t>
      </w:r>
      <w:r>
        <w:rPr>
          <w:sz w:val="20"/>
        </w:rPr>
        <w:t xml:space="preserve">75 000 / 2,5 = 30 000; 83,8/сут</w:t>
      </w:r>
    </w:p>
    <w:p>
      <w:r>
        <w:rPr>
          <w:b/>
          <w:sz w:val="20"/>
        </w:rPr>
        <w:t xml:space="preserve">Отгрузка:  </w:t>
      </w:r>
      <w:r>
        <w:rPr>
          <w:sz w:val="20"/>
        </w:rPr>
        <w:t xml:space="preserve">3,1 полувагона/сут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Пакетов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83,8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-0,24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Полувагонов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Потоки склада подтверждены; буфер 3 000 т покрывает 14,3 суток отгрузки — устойчив к недельным сбоям подачи вагонов.</w:t>
      </w:r>
    </w:p>
    <w:p/>
    <w:p>
      <w:pPr>
        <w:pStyle w:val="Heading2"/>
      </w:pPr>
      <w:r>
        <w:rPr>
          <w:b/>
          <w:sz w:val="26"/>
        </w:rPr>
        <w:t xml:space="preserve">L3-NB · Новый корпус электроэкстракции: компоновка расчётом (сценарий «новое строительство»)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Базис размещения: новое строительство на свободной территории (ТЗ v4.1 п.1.3 от 25.08.2026) [ТЗ v4.1 п.1.3; остаточное противоречие внутри v4.1 — см. п.7 раздела 1] · Ванны: 180 шт. (2 серии × 90, ряды по 45); 84 катода/ванну, шаг 95 мм (прил. В ДЕЛЬТА) [ИД ч.2 п. 4.2.2, п. 1.3.9; прил. В] · Кран и отметки: мостовые краны над ваннами; подъём матрицы ≈1,3 м + траверса [практика tankhouse; ИД ч.2 (КСМ)]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X-NB · Стоимость нового строительства (базис ТЗ v4.1 п.1.3)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Объёмы L3-NB: ЭЭ+электролитное 128 тыс. м³; купорос 16; склад 32 [расчёт L3-NB] · Удельники: 45–65 тыс. ₽/м³ (промкаркас, V снеговой район, сети в здании); ЭЭ ×1,15 (кислотостойкие полы и фундаменты ванн); склад 40 [оценка КВАНТ Class 5 по аналогам 2025–2026]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EL-TOTAL · Сводная электрическая нагрузка комплекса (для ТУ)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Составляющие: Лот 1 (обжиг): ср, 0,98 МВт; Лот 2 (купорос): ср, 0,19 МВт; Лот 3 (ЭЭ: выпрямление + вспом,): ср, 16,07 МВт; Лот 4 (склад): ср, 0,08 МВт [ИД табл. 26, табл. 8.5 + досчёты КВАНТ (L1-EL, L3-FARADEY)]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IO-TOTAL · Укрупнённый объём сигналов АСУТП (для выбора контроллеров)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База: перечень оборудования БИ (70 позиций) × типовые наборы сигналов на агрегат/контур + 30 % запас (Прил.5) [equipment.json; Прил. №5 (запас модулей ввода/вывода ≥30 %)]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X-CU · Сквозной баланс меди: сырьё лота 1 → катодная медь лота 3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Приход Cu в шихту: 71 264,3 т/год (наш L1-MET) [расчёт КВАНТ по ИД табл. 22] · Уходы мимо катода: потери 0,47 % · смешанный купорос (9,79 % Cu → NNH) · маточник-2 (в ЦЭН) [ИД табл. 22; ТЗ п. 4.2; ИД ч.2 п. 1.4.2.2] · Расчётная катодная ИД ч.2: 8 066,1 кг/ч × 8 584,8 ч = 69 246 т/год [ИД ч.2 табл. 4.2]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L1-DEW · Кислотная точка росы газов (коррозионная граница тракта)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 газа на СКЦ (осн./вспом.): H₂O 19,27/13,26 %; SO₃ 0,718/0,437 % [ИД табл. 23 п.400–403] · Метод: корреляция Verhoff–Banchero (H₂SO₄-точка росы по парциальным давлениям) [справочная корреляция]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218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210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169 °C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169,1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+12,7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218 °C (осн.) — в номинале тракт сухой, но конденсация начнётся на любой стенке холоднее ≈218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L1-BED · Печь КС: проверка фактической геометрии HATCH нашей моделью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Геометрия печи (ИД ч.1, стр. 417–418): конус 21° (полный угол; уклон 0,18527 на сторону): Ø6000 подина → Ø8390 газоход; высота конуса 6 450; решётка 583 сопла [ИД ч.1 разд. 2.3 (конструкция HATCH)] · Время пребывания / огарок: 9 ч при 930 °C; 10,34 т/ч номинал [ИД разд. 2.3; табл. 22/23] · Плотность псевдоожиженного слоя: ≈1,3 т/м³ (вспученное состояние) [оценка КВАНТ]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V(h), уклон 0,18527 на сторону):  </w:t>
      </w:r>
      <w:r>
        <w:rPr>
          <w:sz w:val="20"/>
        </w:rPr>
        <w:t xml:space="preserve">h ≈ 2,21 м; зеркало слоя Ø 6,82 м (36,5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323,9 т/сут ÷ 36,5 м² = 8,86 т/(м²·сут)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~2,2 м — в типовом диапазоне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2,21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+10,75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Напряжённость по зеркалу слоя, т/(м²·сут) — ВЫШЕ диапазона 4–8 (по подине была бы 11,5; конус смягчает, но не выводит в норму) — запас площади пода вынесен вопросом Гипроникелю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+26,64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</w:tbl>
    <w:p>
      <w:r>
        <w:rPr>
          <w:b/>
        </w:rPr>
        <w:t xml:space="preserve">Вывод: </w:t>
      </w:r>
      <w:r>
        <w:t xml:space="preserve">Пересчёт на фактической геометрии HATCH с корректным уклоном 0,18527 на сторону (21° по ИД — полный угол конуса Ø6000→Ø8390/6450): слой ~2,2 м, зеркало Ø6,8 м (36,5 м²), напряжённость 8,86 т/(м²·сут) — ВЫШЕ диапазона мировой практики 4–8: запас площади пода/зеркала требует подтверждения Гипроникелем (базис HATCH). Конус по-прежнему решает сепарацию (скорость газа падает к газоходу) — см.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L1-FLUID · Гидродинамика слоя КС (пред-CFD): скорости и механизм уноса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Частицы: огарок 449 мкм (слой), концентрат 25,5 мкм (свежая шихта); ρ ≈ 5 300 кг/м³ (оценка) [ИД табл. 23 (крупности); оценка КВАНТ] · Газ в слое: 930 °C; ρ = 0,304 кг/м³; μ = 4,6·10⁻⁵ Па·с [справочные свойства] · Сечения конусной печи: подина 28 м² → зеркало слоя 36,5 м² → газоход 55 м² [подина и газоход — ИД ч.1 стр. 417 (геометрия HATCH); зеркало слоя — расчёт КВАНТ (L1-BED)]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0,35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2,6 — конус гасит скорость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+28,8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8,69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+73,85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