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200"/>
        <w:gridCol w:w="7438"/>
      </w:tblGrid>
      <w:tr>
        <w:tc>
          <w:tcPr>
            <w:tcW w:w="2200" w:type="dxa"/>
          </w:tcPr>
          <w:p>
            <w:r>
              <w:rPr>
                <w:b/>
                <w:sz w:val="34"/>
              </w:rPr>
              <w:t xml:space="preserve">КВАНТ</w:t>
            </w:r>
          </w:p>
          <w:p>
            <w:r>
              <w:rPr>
                <w:color w:val="666666"/>
                <w:sz w:val="15"/>
              </w:rPr>
              <w:t xml:space="preserve">рабочие материалы проекта</w:t>
            </w:r>
          </w:p>
        </w:tc>
        <w:tc>
          <w:tcPr>
            <w:tcW w:w="7438" w:type="dxa"/>
          </w:tcPr>
          <w:p>
            <w:r>
              <w:rPr>
                <w:b/>
                <w:sz w:val="20"/>
              </w:rPr>
              <w:t xml:space="preserve">ОВЭ-75 · АО «Кольская ГМК» (АО «Кольская горно-металлургическая компания»)</w:t>
            </w:r>
          </w:p>
          <w:p>
            <w:r>
              <w:rPr>
                <w:color w:val="444444"/>
                <w:sz w:val="17"/>
              </w:rPr>
              <w:t xml:space="preserve">Комплекс «обжиг – выщелачивание – электроэкстракция» производительностью 75 000 т катодной меди в год · шифр КГМК.ОВЭ-75</w:t>
            </w:r>
          </w:p>
        </w:tc>
      </w:tr>
    </w:tbl>
    <w:p>
      <w:r>
        <w:rPr>
          <w:b/>
          <w:sz w:val="34"/>
        </w:rPr>
        <w:t xml:space="preserve">ОПРОСНЫЙ ЛИСТ ОЛ-ОВЭ75-12</w:t>
      </w:r>
    </w:p>
    <w:p>
      <w:r>
        <w:rPr>
          <w:b/>
          <w:sz w:val="28"/>
        </w:rPr>
        <w:t xml:space="preserve">Штабелёр (система автоматического складирования)</w:t>
      </w:r>
    </w:p>
    <w:p>
      <w:r>
        <w:rPr>
          <w:color w:val="666666"/>
          <w:sz w:val="18"/>
        </w:rPr>
        <w:t xml:space="preserve">Лот №4 · Склад готовой продукции · участок: Складирование · сформирован 27.08.2026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638"/>
      </w:tblGrid>
      <w:tr>
        <w:tc>
          <w:tcPr>
            <w:tcW w:w="9638" w:type="dxa"/>
            <w:shd w:val="clear" w:fill="FFEB9C"/>
          </w:tcPr>
          <w:p>
            <w:r>
              <w:rPr>
                <w:b/>
                <w:color w:val="8A6200"/>
                <w:sz w:val="26"/>
              </w:rPr>
              <w:t xml:space="preserve">ЧЕРНОВИК — для запроса ТКП</w:t>
            </w:r>
          </w:p>
          <w:p>
            <w:r>
              <w:rPr>
                <w:color w:val="8A6200"/>
                <w:sz w:val="16"/>
              </w:rPr>
              <w:t xml:space="preserve">Не является выпущенной документацией. Значения — из ИД/ТЗ Заказчика и решений БИ (equipment.json, bi_lot*.json); жёлтые поля «уточняется по ТКП» заполняет поставщик в составе технико-коммерческого предложения.</w:t>
            </w:r>
          </w:p>
        </w:tc>
      </w:tr>
    </w:tbl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100"/>
        <w:gridCol w:w="5038"/>
        <w:gridCol w:w="1800"/>
        <w:gridCol w:w="1700"/>
      </w:tblGrid>
      <w:tr>
        <w:tc>
          <w:tcPr>
            <w:tcW w:w="1100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5038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5038" w:type="dxa"/>
          </w:tcPr>
          <w:p>
            <w:r>
              <w:rPr>
                <w:sz w:val="18"/>
              </w:rPr>
              <w:t xml:space="preserve">Система автоматического складирования с подсистемами позиционирования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Комплект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Закуп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4200"/>
        <w:gridCol w:w="2838"/>
      </w:tblGrid>
      <w:tr>
        <w:tc>
          <w:tcPr>
            <w:tcW w:w="2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2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8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Согласуется при разработке БИ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Количество / грузоподъёмность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3 шт. (2+1) г/п 3,2–5 т, электрические, с позиционированием; ≈220 циклов/сут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расчёт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Назначение (в составе системы складирования)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Приёмка пакетов с выходного конвейера КСМ, размещение по партиям, отгрузка — всё в автоматическом режиме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п.6.3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Алгоритм работы / АСУ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Алгоритм размещения стоп катодов автопогрузчиками-штабелёрами по размеченным линиям с памятью «что и где стоит»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п.6.3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Функции АСУ по ТЗ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Роботы, набор партий, разбраковка, автоматическое взвешивание, отбор на сверловку, алгоритм размещения стоп с памятью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(пред. ред.) п. 6.4 (в v4.1 — п. 7.x, сверить по перечню границ Лота №4 v4.1)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Груз — пакет катодов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2500 ± 50 кг; ≈56–64 листа × 38–45 кг (при номинале 280 А/м² — ≈54 листа); 1,0×1,0 м в плане; высота ≈0,42–0,50 м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п. 1.3.11; ИД табл. 3.1; расчёт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Темп работы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30 000 пакетов/год; 84 пакета/сут; 3,5 пакета/ч (пик до 7)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расчёт БИ от 75 000 т/год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Ярусность хранения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2 яруса базово (высота стопы ≈0,9–1,1 м); 3 яруса — по результатам обследования пола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решение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Нагрузка на пол (колесо)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Колесо ≈3,5–4,5 тс — расчёт плиты на сосредоточенную нагрузку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оценка БИ (уточнить по ТКП)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Масса машины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Штабелёр 8–11 т — заезд своим ходом, ворота ≥3,5 м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оценка БИ (раздел «Нагрузки на полы»)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Требование к полу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Просвет ≤4 мм под 2-м рейкой (базово); жёстче — по ТКП системы позиционирования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СП 71.13330; решение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Закуп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п.6.3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Тип АКБ, время работы/заряда, зарядная инфраструктура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Система позиционирования (тип, точность)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</w:tbl>
    <w:p>
      <w:r>
        <w:rPr>
          <w:color w:val="8A6200"/>
          <w:sz w:val="17"/>
        </w:rPr>
        <w:t xml:space="preserve">Жёлтым выделено «уточняется по ТКП» — заполняет поставщик; остальные значения — исходные требования Заказчика (ИД/ТЗ) и решения БИ КВАНТ.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(жёлтые поля)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Muted"/>
      </w:pPr>
      <w:r>
        <w:rPr>
          <w:color w:val="666666"/>
          <w:sz w:val="16"/>
        </w:rPr>
        <w:t xml:space="preserve">Источники данных: equipment.json (перечень по ИД/ТЗ) и bi_lot4.json (инженерные решения БИ); сборка — ove/tools/build_specs.py, 27.08.2026.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ol shtabeler</dc:title>
  <dc:creator>ООО «КВАНТ»</dc:creator>
  <cp:lastModifiedBy>ООО «КВАНТ»</cp:lastModifiedBy>
  <dcterms:created xsi:type="dcterms:W3CDTF">2026-08-27T09:00:00Z</dcterms:created>
  <dcterms:modified xsi:type="dcterms:W3CDTF">2026-08-27T09:00:00Z</dcterms:modified>
</cp:coreProperties>
</file>