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2026-08-15. К ТЗ на БИ v3.6 и ИД ч.1/ч.2.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Вердикты: ok — сходится (≤1,5 %), warn — в допуске модели, question — методологический вопрос Гипроникелю. Расчёты подлежат рецензии инженера перед включением в БИ.</w:t>
      </w:r>
    </w:p>
    <w:p>
      <w:r>
        <w:rPr>
          <w:b/>
          <w:sz w:val="21"/>
        </w:rPr>
        <w:t xml:space="preserve">Итого: блоков 21, сверок 40 (сходится 33, в допуске 1, вопросов 6), находок для Гипроникеля 11.</w:t>
      </w:r>
    </w:p>
    <w:p/>
    <w:p>
      <w:pPr>
        <w:pStyle w:val="Heading1"/>
      </w:pPr>
      <w:r>
        <w:rPr>
          <w:b/>
          <w:sz w:val="28"/>
        </w:rPr>
        <w:t xml:space="preserve">1. Находки — вопросы к ИД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 занижено в ИД: неучтённые потребители дают ≈ +50 %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ТЭП завышается. Учесть в расчёте нагрузок (D-ТУ)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Выход по току в ИД явно не указан — запросить (мы приняли 92 %)</w:t>
      </w:r>
    </w:p>
    <w:p>
      <w:r>
        <w:rPr>
          <w:sz w:val="20"/>
        </w:rPr>
        <w:t xml:space="preserve">Все электрохимические цифры ИД самосогласованы при η ≈ 92 %.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Смена базиса: существующих цехов нет — новое строительство корпусов ЭЭ, купороса и склада (+7–10 млрд ₽, +18–24 мес)</w:t>
      </w:r>
    </w:p>
    <w:p>
      <w:r>
        <w:rPr>
          <w:sz w:val="20"/>
        </w:rPr>
        <w:t xml:space="preserve">ТЗ (п. 2.8.5, Лот 3) и Прил.№6 исходят из размещения в существующих зданиях ЦЭМ/ГМУ, но по вводной владельца зданий под размещение нет. Вынести Заказчику первым вопросом: какой базис закладывать в БИ? При новом строительстве: Прил.№6 не применяется, в состав БИ добавляются посадка на генплан и полные нагрузки нового корпуса, CAPEX +7–10 млрд ₽, срок +18–24 мес. Наша компоновка нового корпуса — блок NB-EW.</w:t>
      </w:r>
    </w:p>
    <w:p>
      <w:r>
        <w:rPr>
          <w:b/>
          <w:sz w:val="21"/>
        </w:rPr>
        <w:t xml:space="preserve">8. [ВАЖНО] «75 000 т/год» не обеспечены заявленным сырьём: доступно ~70,3 тыс. т (дефицит 6,3 %)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≈221/209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[к сведению] Габарит печи КС найден в ИД ч.1 (стр. 417): конус Ø6000→8390, 583 сопла — модель и CFD-кейс обновлены</w:t>
      </w:r>
    </w:p>
    <w:p>
      <w:r>
        <w:rPr>
          <w:sz w:val="20"/>
        </w:rPr>
        <w:t xml:space="preserve">Ранее запрашивали табл. 24/25 — не требуется: геометрия есть в тексте разд. 2.3. Наша проверка: слой ~2 м, напряжённость по зеркалу ~7 т/(м²·сут) — конструкция консистентна.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2900"/>
        <w:gridCol w:w="2900"/>
        <w:gridCol w:w="12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  <w:tc>
          <w:tcPr>
            <w:tcW w:w="1238" w:type="dxa"/>
            <w:shd w:val="clear" w:fill="EFEFEF"/>
          </w:tcPr>
          <w:p>
            <w:r>
              <w:rPr>
                <w:b/>
                <w:sz w:val="19"/>
              </w:rPr>
              <w:t xml:space="preserve">Базис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X-CU; разделить мощность и выпуск (F-CAP)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качество катода не может гарантироваться безусловно при чужом сырье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1 942 кВт·ч/т (расчёт при η=92 %)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+5,5 % на старение анодов, рост КЗ, зимний режим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≈92 % (самосогласование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F-ETA: значение в ИД не зафиксировано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граница самого ТЗ; запас ×2 к расчёту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гарантии изготовителя ЭФ ≥96 %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перенос финальной гарантии на vendor data (D-09)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диапазон 9–16 % по режимам; стабильность ±1,5 % абс. за 15 мин — контуром АСУ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СКЦ важнее стабильность, чем абсолют; гарантия при составе шихты по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F-HEAT: тепловой эффект под вопросом (наша оценка +20 %)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+11/9 % на пусковые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F-O2: базис нормы не подтверждён (+7,5 % запас)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точка росы 221/209 °C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L1-DEW / F-DEW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F-KUPOROS: базис 25,7 % не подтверждён — гарантируем достижимое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F-CL: хлор на пределе для 316L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запас на первый год освоения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7,6 млн кВт·ч/год с досчётом (ИД: 4,95)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7,6 млн кВт·ч/год; в ТУ — среднюю 1,0 МВт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F-EL1: воздуходувка/вакуум/аспирация не нормированы в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Прил. №5 и Методика ЕТТ — их же требования, фиксируем как гарантию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(F-HEAT)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(F-EL1)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≈7.7 млн кВт·ч (+56 %).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принято 92 % (типовой диапазон ЭЭ меди 88–94 %) [допущение КВАНТ — в ИД явно не приведён]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0,92) = 41 087 А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41 087 / (84 × 2 × 1,0 м²) = 245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0,92 = 2,12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МВт; ток из мощности: 41 089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→ 77,7 тыс,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77,7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+0,86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самосогласована: ток ванны ≈41 087 А (плотность 245 А/м² номинал), напряжение 2.12 В, мощность выпрямления ≈15.7 МВт (два независимых пути сходятся в 0,1 %). Запас до 280 А/м² подтверждает 76,7 тыс. т/год. Выход по току 92 % — наше допущение, у Гипроникеля запросить принятое значение.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8 413 ч = 68 756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68 756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NB-EW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Вводная владельца: существующих цехов нет — проектируем новый корпус (15.08.2026) [решение КВАНТ; противоречит базису ТЗ/Прил.№6 — см. F-BUILD] · Ванны: 180 шт. (2 серии × 90, ряды по 45); 84 катода/ванну, шаг ≈100 мм [ИД ч.2 п. 4.2.2, п. 1.3.9]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9,6 × 1,45 м (84 катода × ~0,100 м + концевые)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45 × 1,55 = 69,8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 + зона КСМ 30 м + ремзона 20 м)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NB-COST · Стоимость нового строительства (замена «реконструкции существующих»)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NB-EW: ЭЭ+электролитное 128 тыс. м³; купорос 16; склад 32 [расчёт NB-EW]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 (≈$114 млн при 90 ₽/$)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Дельта к прежней строке «реконструкция» ($18M base), млн $ — смена базиса добавляет к CAPEX ~$70–100 млн — решение Заказчика обязательно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114,3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+534,78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Новое строительство вместо приспособления существующих зданий добавляет к CAPEX ≈10,3 млрд ₽ (сверх корпуса обжига, который и в ТЗ был новым) и ~18–24 месяца строительного цикла. Строка CAPEX «реконструкция ЦЭМ/ГМУ» заменена на три строки нового строительства — см. вкладку «Стройка · CAPEX».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 (D-ТУ, позиция E-04).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ДИ (позиция A-10 вкладки «Состав БИ»).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потери ГМЦ 0,10 % и оборотная незавершёнка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221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209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166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166,4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+10,92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221 °C (осн.) — в номинале тракт сухой, но конденсация начнётся на любой стенке холоднее ≈221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проверка фактической геометрии HATCH нашей моделью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Геометрия печи (ИД ч.1, стр. 417–418): конус 21°: Ø6000 подина → Ø8390 газоход; высота конуса 6 450; решётка 583 сопла [ИД ч.1 разд. 2.3 (конструкция HATCH)] · Время пребывания / огарок: 9 ч при 930 °C; 10,34 т/ч номинал [ИД разд. 2.3; табл. 22/23] · Плотность псевдоожиженного слоя: ≈1,3 т/м³ (вспученное состояние) [оценка КВАНТ]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V(h)):  </w:t>
      </w:r>
      <w:r>
        <w:rPr>
          <w:sz w:val="20"/>
        </w:rPr>
        <w:t xml:space="preserve">h ≈ 1,98 м; зеркало слоя Ø 7,5 м (44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324 т/сут ÷ 44 м² = 7,3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 м — реалистично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 зеркалу слоя, т/(м²·сут) — конусная форма (Ø6→8,39 м) выводит напряжённость в норму — по подине была бы 11,5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7,29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+4,08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Фактическая геометрия печи HATCH проходит независимую проверку: слой ~2 м, зеркало Ø7,5 м, напряжённость 7,3 т/(м²·сут) — в мировом диапазоне. Конус 21° одновременно решает сепарацию (скорость газа падает к газоходу) — see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Сечения конусной печи: подина 28 м² → зеркало слоя 44 м² → газоход 55 м² [ИД ч.1 стр. 417 (геометрия HATCH)]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0,29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2,1 — конус гасит скорость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+5,85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7,14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+42,87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