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Размещается в существующем корпусе электрорафинирования меди металлургического цеха (ЦЭМ) промплощадки АО «Кольская ГМК», г. Мончегорск.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Электроды (первичная загрузка)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Узлы реагентов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поставки (задание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 (перечень «не включается»)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сертификация/декларирование поставляемых позиций; ГОСТ 12.2.003-91 — Оборудование производственное. Общие требования безопасности; ГОСТ 15150-69 — Исполнение УХЛ3 для оборудования электролизного зала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 (позиция D-21)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 ТЗ v4.1 (таблица границ Лота №3) точки подключения энергосред «уточняются при разработке БИ и ОТР для каждого вида оборудования в поставке»; БИ выдаёт предварительные данные для запросов ТУ и заданий смежным разделам.</w:t>
      </w:r>
    </w:p>
    <w:p>
      <w:r>
        <w:rPr>
          <w:sz w:val="20"/>
        </w:rPr>
        <w:t xml:space="preserve">ЭЛЕКТРОЭНЕРГИЯ. Средняя нагрузка отделения 16,07 МВт (блок EL-TOTAL), из них выпрямление 15,67 МВт средних (пик 16,1 МВт при 42,45 кА; при форсировке до 47 кА — до 18,7 МВт); вспомогательные потребители 16,07 − 15,67 ≈ 0,40 МВт средних: КСМ (потребляемая 105 кВт), спецкраны, мешалки и насосы-дозаторы узлов реагентов, АСУ, освещение. Категория надёжности — I (электролиз непрерывного цикла; допустимое окно перерыва питания ≤ 2 ч по условию сохранности анодов), АСУ — I особая (ИБП ≥ 10 мин). Расчёт электрических нагрузок для запроса ТУ — в составе БИ; запрос и получение ТУ — зона ответственности Заказчика (граница 5.2.7 / v4.1 «уточняется при БИ»).</w:t>
      </w:r>
    </w:p>
    <w:p>
      <w:r>
        <w:rPr>
          <w:sz w:val="20"/>
        </w:rPr>
        <w:t xml:space="preserve">ВОДА ПРОИЗВОДСТВЕННАЯ (оз. Сопчъявр): промывка КСМ II ступени — 4 м³/ч свежей (90–115 °С); промывка свинцового шлама — 2 м³/т (52–60 м³/год при 25,9–30 т сух./год); подпитка контура циркуляции по балансу растворов (неиспользуемый резерв поступления воды по ИД компенсируется свежей производственной водой — ИД разд. 5); промывка коллекторов аспирации (периодическая, слив в циркуляцию). ВОДА ОБОРОТНАЯ: нейтральная СОВ на холодильники электролита — 216 м³/ч (22,5 → 37,5 °С; 2 нитки по 108 м³/ч); промывка КСМ I ступени — 25 м³/ч (60–80 °С, оборотная внутри узла КСМ); охлаждающая вода КСМ — 25 л/мин (≤ 30 °С, 1,5 бар).</w:t>
      </w:r>
    </w:p>
    <w:p>
      <w:r>
        <w:rPr>
          <w:sz w:val="20"/>
        </w:rPr>
        <w:t xml:space="preserve">ПАР. Потребитель — подогрев воды II ступени промывки КСМ до 90–115 °С: при исходной температуре +5 °С (принято, зимний расчётный случай) Q = 4000 кг/ч × 4,19 кДж/(кг·К) × 100 К / 3600 ≈ 466 кВт ≈ 0,40 Гкал/ч пиковых; резервный подогрев циркуляционных баков — периодически (пусковые режимы, недопущение охлаждения ниже 40 °С). Доля отделения в общезаводской норме 0,417 Гкал/т — выделяется расчётом БИ.</w:t>
      </w:r>
    </w:p>
    <w:p>
      <w:r>
        <w:rPr>
          <w:sz w:val="20"/>
        </w:rPr>
        <w:t xml:space="preserve">СЖАТЫЙ ВОЗДУХ: пневматика КСМ — 6 бар; воздух КИП — отсечная/регулирующая арматура и подпор шкафов АСУ очищенным воздухом (Прил. №5); граница — фланец на вводе в цех (по v3.6 п. 5.2.5; в v4.1 — уточняется при БИ/ОТР); расходы — по опросным листам поставщиков. Гидравлика КСМ 120 бар — автономная станция в комплекте поставки, внешних подключений не требует.</w:t>
      </w:r>
    </w:p>
    <w:p>
      <w:r>
        <w:rPr>
          <w:sz w:val="20"/>
        </w:rPr>
        <w:t xml:space="preserve">ВОДООТВЕДЕНИЕ. Технологических стоков в наружные сети нет — контур замкнут: промывные воды КСМ и аспирации, зумпфовые воды → циркуляционные баки; «грязная» вода КСМ (Cu ≥ 1,6 г/л, H2SO4 ≥ 2 г/л) → ГМО; фильтрат и промводы шламового узла → репульпатор поз. 4.1.21 ГМУ. Хозбытовые и дождевые стоки — по площадочным сетям (вне БИ, по ТУ).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ср. 16,07 МВт (выпрямление 15,67 + вспом. 0,40); пик до 18,7 МВт; I категория, окно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свежая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м³/ч (КСМ II ст.) + 2 м³/т шлама + подпитка по балансу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оборотная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216 м³/ч СОВ (холодильники) + 25 м³/ч (КСМ I ст.) + 25 л/мин (охлаждение КСМ)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≈0,40 Гкал/ч пик (подогрев 4 м³/ч с +5 до 90–115 °С; пересчёт показан)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КСМ 6 бар + воздух КИП (подпор шкафов); расход — по опросным листам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Водоотведение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замкнутый контур; грязные воды КСМ → 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п. 1.2.17–1.2.21 — Категории надёжности электроснабжения потребителей отделения; ГОСТ 17433-80 — Классы загрязнённости сжатого воздуха (воздух КИП)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Прил. №3 на стадии БИ — по его собственной оговорке «уточняется с учётом согласованных границ проектирования»; ниже — предлагаемый состав уровня FEED (закрепляется протоколом, позиция E-01), детальная электрика (кабельные журналы, светотехника, планы прокладки) — этап РД.</w:t>
      </w:r>
    </w:p>
    <w:p>
      <w:r>
        <w:rPr>
          <w:sz w:val="20"/>
        </w:rPr>
        <w:t xml:space="preserve">ИСТОЧНИКИ И СХЕМА. Сценарий А — существующая встроенная преобразовательная подстанция ЦЭМ (черт. ФМ-59435); сценарий Б (базовый) — новая подстанция при корпусе ЭЭ, размещение у торца выпрямителей (короткие магистральные шины). Схема: два независимых ввода 6(10) кВ (I категория), выпрямительные агрегаты — по одному на серию + общий резервный с перекрёстной ошиновкой (переключение без остановки серии); вспомогательные потребители 0,4 кВ — от двухтрансформаторной КТП с АВР. Итоговые нагрузки для ТУ: отделение — 16,07 МВт средних / до 18,7 МВт при форсировке; комплекс ОВЭ в целом — ≈17,3 МВт средних, ≈21 МВт установленных (блок EL-TOTAL).</w:t>
      </w:r>
    </w:p>
    <w:p>
      <w:r>
        <w:rPr>
          <w:sz w:val="20"/>
        </w:rPr>
        <w:t xml:space="preserve">СВОДНАЯ ТАБЛИЦА ЭЛЕКТРОПРИЁМНИКОВ (E-04, объём БИ): установленная/расчётная мощность, категории по ПУЭ, коэффициенты — по перечню оборудования БИ; пусковые токи — для приводов ≥ 100 кВт по каталожным данным (в лоте таких единицы — гидростанция КСМ 125 кВт установленной); полная таблица с фактическими пусковыми характеристиками — детальный этап по vendor data.</w:t>
      </w:r>
    </w:p>
    <w:p>
      <w:r>
        <w:rPr>
          <w:sz w:val="20"/>
        </w:rPr>
        <w:t xml:space="preserve">КАЧЕСТВО СЕТИ И КРМ. Выпрямители 47 кА (вне лота) — определяющий источник высших гармоник и потребитель реактивной мощности узла; в задание на выпрямители БИ включает: нормы искажений на шинах 6(10) кВ по ГОСТ 32144-2013, целевой коэффициент мощности — по ТУ сетевой организации, состав фильтрокомпенсирующих устройств — по расчёту сети (E-06, краткое описание в БИ).</w:t>
      </w:r>
    </w:p>
    <w:p>
      <w:r>
        <w:rPr>
          <w:sz w:val="20"/>
        </w:rPr>
        <w:t xml:space="preserve">ЭЛЕКТРОБЕЗОПАСНОСТЬ ЗАЛА (ПУЭ разд. 7.10): сеть постоянного тока серий изолирована от земли, непрерывный контроль изоляции; ванны — на опорных изоляторах (двухступенчатая изоляция), трубопроводы — электрические разрывы на подаче/приёме; напряжение серии до 225 В — изолирующие настилы/площадки обслуживания вдоль рядов, исключение одновременного касания точек серии с большой разностью потенциалов; шинные мосты — ограждение. Заземление и молниезащита: концепция в БИ (для нового корпуса); выбор типа заземлителя — по данным изысканий на детальном этапе (E-08).</w:t>
      </w:r>
    </w:p>
    <w:p>
      <w:r>
        <w:rPr>
          <w:sz w:val="20"/>
        </w:rPr>
        <w:t xml:space="preserve">ОСВЕЩЕНИЕ (E-09, в БИ — требования): среда химически активная (аэрозоли H2SO4) — светильники IP65, коррозионностойкие корпуса; нормируемая освещённость зон обслуживания ванн, КСМ и щитовых — по СП 52.13330; зоны аварийного и эвакуационного освещения — определяются в БИ; светотехнический расчёт и выбор типов — РД.</w:t>
      </w:r>
    </w:p>
    <w:p>
      <w:r>
        <w:rPr>
          <w:sz w:val="20"/>
        </w:rPr>
        <w:t xml:space="preserve">Ex-ЗОНЫ (E-15): помещение категории В2 (пожароопасная); взрывоопасные зоны в электролизном зале не предусматриваются — выделение водорода при электроэкстракции меди в нормальном режиме незначительно; подтверждающий расчёт газовыделения — в БИ, чертежи Ex-зон не выпускаются (обоснование в ПЗ).</w:t>
      </w:r>
    </w:p>
    <w:p>
      <w:r>
        <w:rPr>
          <w:sz w:val="20"/>
        </w:rPr>
        <w:t xml:space="preserve">Графика электро-части БИ: однолинейные схемы 6(10)/0,4 кВ отделения, планы размещения основного электрооборудования и главные кабельные коридоры, предварительные сечения основных питающих кабелей, расчёт токов КЗ для предварительного выбора аппаратов (E-10, E-11, E-12, E-14).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для 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16,07 МВт ср. / 18,7 МВт форсировка; комплекс ≈17,3 ср. / ≈21 МВт уст.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электролиз I (окно ≤ 2 ч); АСУ I особая; вспомогательные II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ввода 6(10) кВ; 3 выпрямителя (2 + 1 резерв, перекрёстная ошиновка); КТП 0,4 кВ с АВР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Гармоники/КРМ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нормы ГОСТ 32144-2013 на шинах 6(10) кВ; ФКУ — по расчёту сети (задание на выпрямители)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ГОСТ 32144-2013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Изоляция зала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IT-сеть серий, контроль изоляции; изолирующие настилы; разрывы трубопроводов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разд. 7.10; ИД ч.2 п. 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Электролизные установки: изоляция, контроль, проходы, разрывы; ГОСТ 32144-2013 — Нормы качества электрической энергии (гармоники от выпрямителей); СП 52.13330.2016 — Естественное и искусственное освещение — нормируемые уровни; Приложение №3 к ТЗ — Состав сведений по электроснабжению; объём на БИ — по согласованным границам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объёма Приложения №3 на стадии БИ (перечень действующих пунктов E-02…E-19) — согласовать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pPr>
        <w:pStyle w:val="Heading2"/>
      </w:pPr>
      <w:r>
        <w:rPr>
          <w:b/>
          <w:sz w:val="26"/>
        </w:rPr>
        <w:t xml:space="preserve">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Line list по потокам предварительных P&amp;ID; точность по количеству ±20–30 % (редакция состава v4.1). Скорости проверены при принятых DN (критерий для пластиковых напорных линий ≤ 3 м/с, самотёчных — по уклону).</w:t>
      </w:r>
    </w:p>
    <w:p>
      <w:r>
        <w:rPr>
          <w:sz w:val="20"/>
        </w:rPr>
        <w:t xml:space="preserve">ОСНОВНЫЕ ЛИНИИ:
1) Напорные коллекторы питания серий — 2 × DN350 (817 м³/ч на нитку; скорость 817/3600/0,0962 = 2,4 м/с), ПП/ПВДФ/футерованная сталь, 50 °С, среда 112–120 кг/м³ H2SO4; разбиение на плечи вдоль рядов.
2) Индивидуальные подводы к ваннам — 180 × DN80 (9,1 м³/ч; 0,5 м/с — запас на настроечное дросселирование и зарастание), каждый с настроечной арматурой и разрывом струи.
3) Слив бедного электролита — переливные карманы 180 шт. → самотёчные лотки/коллекторы 2 ниток в циркуляционные баки (уклон на опорожнение).
4) Отсечка на выщелачивание — DN200 (124,7 м³/ч; 1,1 м/с); отсечка на растворение купороса — DN40 (3,2–3,5 м³/ч; 0,75 м/с).
5) Оборотная вода холодильников — 2 × DN150 (108 м³/ч; 1,7 м/с) подача/возврат с регулирующим клапаном TIC-03.
6) Промывная вода КСМ — DN100 (I ст., 25 м³/ч; 0,9 м/с) и DN50 (II ст., 4 м³/ч; 0,6 м/с) + пар/конденсат узла подогрева II ступени.
7) Реагентные линии — H2SO4 92,5 % DN25 (0,33 т/ч ≈ 0,18 м³/ч при ρ ≈ 1,83 т/м³); HCl 33 % DN15; растворы гуартека и FC-1100 — дозировочные DN15–25 от насосов-дозаторов.</w:t>
      </w:r>
    </w:p>
    <w:p>
      <w:r>
        <w:rPr>
          <w:sz w:val="20"/>
        </w:rPr>
        <w:t xml:space="preserve">АРМАТУРА (оценка ±30 %): доминанта — обвязка ванн: 180 × (настроечная + отсечная) = 360 ед. DN80; коллекторная запорная и секционирующая ≈ 40; вода/пар ≈ 30; реагентные и дренажные ≈ 60–80; итого ≈ 500 ед. Материалы: ПП/ПВДФ корпуса, футерованные диафрагмовые и шаровые для кислых сред; металл — только на воде и паре.</w:t>
      </w:r>
    </w:p>
    <w:p>
      <w:r>
        <w:rPr>
          <w:sz w:val="20"/>
        </w:rPr>
        <w:t xml:space="preserve">ПРИБОРЫ (вне комплектных систем КСМ и кранов, имеющих собственные ПЛК): расходомеры электромагнитные/ультразвуковые — 6–8 (питание серий 2, отсечки 2, оборотная вода 2, промвода); температура — ≈20 точек (питание/возврат серий, баки, холодильники до/после, вода); уровень — 4–6 (циркуляционные баки, зумпфы); давление — 8–10 (коллекторы, напор насосов — стык со смежной системой); плотномеры поточные — 2; милливольтовый контроль напряжений ванн — 180 точек (спецсистема, см. АСУ); дозирование — счётчики-расходомеры реагентов 4–6. Суммарный объём физических сигналов АСУ отделения 450–650 (блок IO-TOTAL) — перечень согласуется с числом приборов.</w:t>
      </w:r>
    </w:p>
    <w:p>
      <w:r>
        <w:rPr>
          <w:sz w:val="20"/>
        </w:rPr>
        <w:t xml:space="preserve">СПЕЦИФИКАЦИЯ НА КИПиА для Лота №3 из состава v4.1 исключена (строка вычеркнута, позиция D-25); критичные и длинноцикловые приборы (поточные плотномеры/анализаторы, расходомеры больших DN в футеровке, система милливольтового контроля) — закрываются опросными листами. Смачиваемые части приборов — тантал/PTFE/керамика; СИ — Госреестр РФ с первичной поверкой.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серий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DN350; 817 м³/ч; 2,4 м/с; ПП/ПВДФ/футеровка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скорости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Подводы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≈500 ед. (±30 %), доминанта — обвязка 180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P&amp;ID (line list)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IO-TOTAL;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исключена из состава Лота №3 (v4.1); критичные приборы — опросными листами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(правка состава, D-25)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перечней приборов и схем автоматизации; ГОСТ 32569-2013 — Трубопроводы технологические стальные — для футерованных стальных участков; Федеральный закон № 102-ФЗ; ГОСТ Р 8.596-2002 — СИ из Госреестра, поверка, метрологическое обеспечение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pPr>
        <w:pStyle w:val="Heading2"/>
      </w:pPr>
      <w:r>
        <w:rPr>
          <w:b/>
          <w:sz w:val="26"/>
        </w:rPr>
        <w:t xml:space="preserve">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с 15.08.2026, вводная владельца: существующих цехов нет).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(1,9 м³/т мощности — в практике tankhouse 1,5–2,5). Оценка стоимости и полный расчёт — вкладка «Расчёты», блоки NB-EW/NB-COST; CAPEX обновлён.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(C-94); сам «вариант размещения» (генплан) запрошен как ИД (Q-10). Сценарий А (приспособление существующего ЦЭМ по Прил.№6) сохранён как резервный.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 (Q-10); базис по лотам подтвердить через C-94</w:t>
      </w:r>
    </w:p>
    <w:p>
      <w:pPr>
        <w:pStyle w:val="Heading2"/>
      </w:pPr>
      <w:r>
        <w:rPr>
          <w:b/>
          <w:sz w:val="26"/>
        </w:rPr>
        <w:t xml:space="preserve">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Кислотозащита строительных конструкций и электрокоррозионная безопасность</w:t>
      </w:r>
    </w:p>
    <w:p>
      <w:r>
        <w:rPr>
          <w:sz w:val="20"/>
        </w:rPr>
        <w:t xml:space="preserve">СРЕДА ВОЗДЕЙСТВИЯ: электролит 112–120 кг/м³ H2SO4 при 50 °С (проливы, капёж с матриц по трассе кран—КСМ, брызги при обслуживании), аэрозоль H2SO4 в воздухе; по СП 28.13330.2017 растворы серной кислоты таких концентраций — сильноагрессивная среда для бетона и стальной арматуры. Исходные требования выдаются строительному разделу (вне БИ) как задание.</w:t>
      </w:r>
    </w:p>
    <w:p>
      <w:r>
        <w:rPr>
          <w:sz w:val="20"/>
        </w:rPr>
        <w:t xml:space="preserve">ЗОНИРОВАНИЕ ПО ИНТЕНСИВНОСТИ: (1) ряды ванн и подванное пространство — постоянный капёж и аварийные проливы: непрерывный кислотоупорный пол-поддон с бортиком и зумпфами; (2) межрядный и пристенные проходы, торцевые зоны и трасса переноса матриц краном — периодический капёж: кислотоупорные полы с уклонами к сливным карманам (СП 29.13330); (3) электролитное отделение (баки, узлы реагентов, кислотные линии) — поддоны на 100 % объёма наибольшей ёмкости (для циркбака — 300 м³); (4) зона КСМ — химстойкий пол с трапами, промывные воды в оборот.</w:t>
      </w:r>
    </w:p>
    <w:p>
      <w:r>
        <w:rPr>
          <w:sz w:val="20"/>
        </w:rPr>
        <w:t xml:space="preserve">КОНСТРУКЦИЯ ЗАЩИТЫ — принцип двух барьеров: первичная защита — бетоны повышенной плотности и водонепроницаемости по СП 28.13330; вторичная — непроницаемый подслой (химстойкая полимерная мембрана/оклеечная изоляция) + износостойкий верхний слой: кислотоупорная керамическая плитка по ГОСТ 961-89 на химстойких замазках (тип «Арзамит») в зонах механических воздействий (проезды, зоны опирания рам), монолитные винилэфирные покрытия — в проходах; швы, примыкания и сопряжения с фундаментами ванн и зумпфами — с непрерывностью мембраны; термостойкость материалов: до 50 °С по электролиту, у КСМ — до 90–115 °С (промвода II ступени). Металлоконструкции (площадки, стойки коллекторов, ограждения) — 316L/стеклопластик либо углеродистая сталь с системой химстойких покрытий для сильноагрессивной среды по СП 28.13330. Производство и приёмка работ по защите — СП 72.13330.2016 (пооперационные акты на скрытые слои).</w:t>
      </w:r>
    </w:p>
    <w:p>
      <w:r>
        <w:rPr>
          <w:sz w:val="20"/>
        </w:rPr>
        <w:t xml:space="preserve">ЭЛЕКТРОКОРРОЗИЯ И ИЗОЛЯЦИЯ: постоянный ток серий 42,45 кА — источник блуждающих токов через проливы и конструкции; мероприятия: двухступенчатая электроизоляция опор ванн (ванна—тумба, тумба—фундамент; прил. В), электрические разрывы трубопроводов на подаче/приёме (ПУЭ 7.10), изолирующие стыки закладных рельсов нутча, периодический контроль сопротивления изоляции ванн и серий; мероприятия по секционированию арматурных сеток подванной плиты и контролю потенциалов — определяются на стадии БИ совместно со строительным разделом.</w:t>
      </w:r>
    </w:p>
    <w:p>
      <w:r>
        <w:rPr>
          <w:sz w:val="20"/>
        </w:rPr>
        <w:t xml:space="preserve">ОБЪЁМЫ ДЛЯ ОЦЕНКИ (сценарий Б): полы зала 36 × 190 = 6840 м² + электролитный пристрой 24 × 42 = 1008 м², итого ≈ 7,8 тыс. м² защищаемых полов (плюс зумпфы, карманы, фундаменты ванн и поддоны баков) — ведомость объёмов защиты формируется в БИ по зонированию.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СП 28.13330.2017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барьера: мембрана + плитка ГОСТ 961-89 на замазках / винилэфирные покрытия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(задание строительному разделу)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Поддоны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объёма наибольшей ёмкости; пол-поддон под рядами ванн; уклоны к зумпфам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29.13330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Электроизоляция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двухступенчатая изоляция опор; разрывы трубопроводов; изолирующие стыки рельсов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4.2.2;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≈7,8 тыс. м² полов (6840 + 1008) + зумпфы/фундаменты/поддоны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габаритов NB-EW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28.13330.2017 — Защита строительных конструкций от коррозии — классификация среды, первичная/вторичная защита; СП 29.13330.2011 — Полы: уклоны, зумпфы, химстойкие покрытия; ГОСТ 961-89 — Плитки кислотоупорные и термокислотоупорные керамические; СП 72.13330.2016 — Производство и приёмка работ по антикоррозионной защите (скрытые слои); ПУЭ (изд. 7), разд. 7.10 — Изоляция ванн от строительных конструкций, контроль блуждающих токов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pPr>
        <w:pStyle w:val="Heading2"/>
      </w:pPr>
      <w:r>
        <w:rPr>
          <w:b/>
          <w:sz w:val="26"/>
        </w:rPr>
        <w:t xml:space="preserve">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Требования к монтажу и веса тяжёлых частей</w:t>
      </w:r>
    </w:p>
    <w:p>
      <w:r>
        <w:rPr>
          <w:sz w:val="20"/>
        </w:rPr>
        <w:t xml:space="preserve">ОСОБЕННОСТЬ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p>
      <w:r>
        <w:rPr>
          <w:sz w:val="20"/>
        </w:rPr>
        <w:t xml:space="preserve">ГЕОМЕТРИЯ РЯДОВ И МОНТАЖ ОШИНОВКИ. Ряд — 45 ванн с шагом 1,40 м (межванновый зазор 85 мм под сборные шины и деформационные швы); длина ряда 62,9 м; разбивка — от двух монтажных баз (продольная ось ряда и торцевая база серии) с компенсацией накопления допусков шага в поле деформационных зазоров (разбивочная схема — по инструкции поставщика ванн/ошиновки). Последовательность узла: опорные тумбы с двухступенчатой изоляцией → выверка высот (борта смежных ванн в поле ± ≈2 мм) → установка и закрепление ванн с антисейсмическими упорами → межванновые сборные шины с двойным контактом (медь, референс Outotec) → концевые шинные мосты серий. Критерий качества контактного монтажа — падение напряжения в межванновой ошиновке не выше проектных 0,06 В/ванну при рабочем токе (проверка милливольтовым обмером на этапе вывода на ток; рост падения — признак деградации контакта). Сечение сборных шин задаёт поставщик ошиновки из допустимой плотности тока и падения 0,06 В (ориентир для меди ≈1 А/мм², т.е. ≈42–47 тыс. мм² на ток 42,45–47,04 кА); соединения — с контролем момента затяжки и микроомметрией. Сопротивление изоляции смонтированной серии — контроль до заливки электролита (ПУЭ 7.10).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Ошиновка ряда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1,40 м, зазор 85 мм; двойной контакт; ≤ 0,06 В/ванну; сечение ≈42–47 тыс. мм² (ориентир 1 А/мм²)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приёмке; ПНР: первое заполнение и вывод на ток</w:t>
      </w:r>
    </w:p>
    <w:p>
      <w:r>
        <w:rPr>
          <w:sz w:val="20"/>
        </w:rPr>
        <w:t xml:space="preserve">ЗАВОДСКИЕ И ПРИЁМО-СДАТОЧНЫЕ ИСПЫТАНИЯ: ванны — гидроиспытание водой у изготовителя и повторно по месту с контролем прогибов (конструкция подтверждается МКЭ-расчётом — прил. В), контроль геометрии посадочных мест электродов и установочных конусов позиционирования; КСМ — FAT у изготовителя с прогоном полного цикла на «холодных» матрицах, подтверждение производительности 120 матриц/ч и точности позиционирования до 1 мм; спецкраны — полное техническое освидетельствование по ФНП № 461 (статические испытания с грузом 125 % грузоподъёмности, динамические — 110 %); ошиновка — микроомметрия контактных соединений (нормы — по ТУ поставщика).</w:t>
      </w:r>
    </w:p>
    <w:p>
      <w:r>
        <w:rPr>
          <w:sz w:val="20"/>
        </w:rPr>
        <w:t xml:space="preserve">ИНДИВИДУАЛЬНЫЕ ИСПЫТАНИЯ И НАЛАДКА: трубопроводы — гидравлические испытания и промывка; ёмкости — испытание наливом; электроизоляция каждой ванны, серии и электрических разрывов — ДО заливки электролита (ПУЭ 7.10; нормы сопротивления — по инструкции поставщика, фиксируются в программе и методике испытаний); АСУ — автономная наладка с имитацией всех блокировок по перечню уставок P&amp;ID; краны и КСМ — комплексная холодная обкатка сценария выгрузки (3 × 1/3 матриц) с контролем очереди от АСУ.</w:t>
      </w:r>
    </w:p>
    <w:p>
      <w:r>
        <w:rPr>
          <w:sz w:val="20"/>
        </w:rPr>
        <w:t xml:space="preserve">ПЕРВОЕ ЗАПОЛНЕНИЕ (пуск серия за серией): потребный объём электролита на серию — ванны 90 × 12,4 м³ = 1116 м³ + циркуляционный бак 0,85 × 300 = 255 м³ + трубопроводы и холодильник, итого ≈ 1,4 тыс. м³; на отделение ≈ 2,8 тыс. м³. Стартовый электролит нарабатывается из богатого фильтрата ГМУ с корректировкой H2SO4 до 112–120 кг/м³ — готовность выщелачивания и контрольной фильтрации к наработке является критическим интерфейсом пуска (график согласуется с ГМУ). Заполнение только подогретым раствором 45–50 °С (запрет подачи ниже 40 °С — порог кристаллизации сульфатов 30–40 °С по ИД п. 4.2.1); последовательность: бак → циркуляция по байпасу с выходом на 50 °С → пованнное заполнение с контролем герметичности, работы переливов и изоляции «под раствором» → выход на расход 800–825 м³/ч на серию.</w:t>
      </w:r>
    </w:p>
    <w:p>
      <w:r>
        <w:rPr>
          <w:sz w:val="20"/>
        </w:rPr>
        <w:t xml:space="preserve">ВЫВОД НА ТОК: предварительное формирование анодов — режим формирования устойчивой оксидной плёнки PbO2 по программе поставщика анодов (до её получения — позиция открыта); набор тока — ступенями от дежурного уровня до рабочего 42,45 кА с ограничением скорости (функция JIC-08), контроль напряжений всех 90 ванн серии (выявление КЗ и обрывов контактов на малом токе), температуры и газовыделения. Перерывы тока работающей серии — не более 2 ч (риск деградации анодов; основание требования I категории электроснабжения). Первые циклы наращивания 6–7 сут — опытный подбор дозировок гуартека и аналога FC-1100, первый съём на КСМ в наладочном темпе с контролем качества поверхности катодов и SPLIT-разделения без сращивания кромки.</w:t>
      </w:r>
    </w:p>
    <w:p>
      <w:r>
        <w:rPr>
          <w:sz w:val="20"/>
        </w:rPr>
        <w:t xml:space="preserve">КОМПЛЕКСНОЕ ОПРОБОВАНИЕ: 72 ч непрерывной работы серии на проектной нагрузке с фиксацией ТЭП (СП 68.13330).</w:t>
      </w:r>
    </w:p>
    <w:p>
      <w:r>
        <w:rPr>
          <w:sz w:val="20"/>
        </w:rPr>
        <w:t xml:space="preserve">ГАРАНТИЙНЫЕ ИСПЫТАНИЯ (методика — в составе БИ; измерительная база — весовой контроль пакетов КСМ и интеграторы А·ч АСУ): мощность оборудования 75 000 т/год (подтверждение прогоном при 280 А/м²) и годовой выпуск при сырье по ИД 69,3 тыс. т ± 1 % — гарантируются двумя раздельными строками (сырьё покрывает ≈93,7 % номинала — блок X-CU); удельный расход электроэнергии ≤ 2050 кВт·ч/т на шинах ванн (расчётный 1942); выход по току ≥ 88 % (расчётный ≈89 %; повышение планки — после письменного подтверждения η Гипроникелем); качество М00к по ГОСТ 859-2014 — условная гарантия при порогах примесей богатого раствора по ИД табл. 1.1/5.8; КИО ванн ≥ 97 % в первый год освоения (проектный 98 %).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Первое заполнение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≈1,4 тыс. м³ на серию (1116 + 255 + трубопроводы); только 45–50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прил. В; ИД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на 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формирование анодов по программе поставщика; ступенчатый набор до 42,45 кА; перерывы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EL-TOTAL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на проектной нагрузке с фиксацией ТЭП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мощность 75 тыс. т/год и выпуск 69,3 тыс. т ± 1 % раздельно; w ≤ 2050 кВт·ч/т; η ≥ 88 %; КИО ≥ 97 %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гарантийная таблица (вкладка «Расчёты»); блок X-CU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№ 461 от 26.11.2020) — Техническое освидетельствование и испытания подъёмных сооружений; СП 68.13330.2017 — Приёмка в эксплуатацию: комплексное опробование 72 ч; ПУЭ (изд. 7), разд. 7.10 — Контроль изоляции ванн и разрывов до заливки и в эксплуатации; ГОСТ 859-2014 — Подтверждение качества катодов при гарантийных испытаниях; СП 77.13330 / СП 76.13330 — ПНР систем автоматизации и электротехнических устройств (редакции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гарантийных испытаний с раздельными строками «мощность/выпуск» (F-CAP)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sz w:val="20"/>
        </w:rPr>
        <w:t xml:space="preserve">ОПРОСНЫЕ ЛИСТЫ — на основное оборудование (перечень фиксируется договором, см. раздел перечня оборудования): ванны (геометрия, МКЭ-протокол, точечные нагрузки по прил. В п. 15 с разложением X/Y/Z и коэффициентами, комплектность: коллектор подачи, закладные рельсов, конусы позиционирования); КСМ (производительность 120 матриц/ч, катодный шаг 95 мм — референсное значение 100 мм привести к фактическому, пакет 2500 ± 50 кг — привести от референса 1400–2000 кг, интерфейсы с АСУ и СГП); спецкраны (Q 16–20 т, режим ≥ А6/М7, позиционирование по конусам, ИК-контроль КЗ, масса моста и тележки для поверочного расчёта путей); ошиновка (ток 47,0 кА, двойной контакт, падение ≤ 0,06 В/ванну); матрицы (316L, SPLIT, ремонтопригодность обрамления); аноды (Pb–Ca–Sn холоднокатаные, программа формирования); укрытия с бортотсосом; циркуляционные баки; узлы реагентов; АСУ (КТС по Прил. №5). Обязательные поля каждого листа: масса самой тяжёлой неразъёмной части (требование прил. В к комплекту поставки), нагрузки статические/динамические, шеф-монтаж и ПНР в объёме поставки (прил. В п. 17), ЗИП на 2 года.</w:t>
      </w:r>
    </w:p>
    <w:p>
      <w:r>
        <w:rPr>
          <w:sz w:val="20"/>
        </w:rPr>
        <w:t xml:space="preserve">ОБОРУДОВАНИЕ ДЛИТЕЛЬНОГО ЦИКЛА ИЗГОТОВЛЕНИЯ (состав v4.1 «при наличии» — в Лоте №3 имеется): (1) электролизные ванны — серия 180 монолитных полимербетонных корпусов: цикл лимитируется оснасткой форм и темпом литья, темп поставки обязан опережать график монтажа рядов; (2) КСМ с роботами и (3) спецкраны — комплектные машины с длинной цепочкой комплектации; (4) парк матриц 15 120 шт. и анодов 15 300 шт. — прокат и сборка партиями к графику заполнения серий; (5) система милливольтового контроля и АСУ (закупка российских ПЛК/SCADA — по доступности). Сроки изготовления по всем позициям — по ТКП (в ИД не заданы); исходные требования на длинноцикловое выдаются в первой очереди поэтапной выдачи БИ (ТЗ «Прочие условия») для ранней контрактации Заказчиком. Справочно: выпрямители — вне лота, но также длинноцикловые; отметить Заказчику в реестре границ.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Привести в листах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Длинноцикловое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«Прочие условия» (поэтапная выдача)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15846-2002 — Упаковка и транспортирование в районы Крайнего Севера (≈3,4 тыс. т поставки); ТР ТС 010/2011 — Комплект документации и подтверждение соответствия машин; ГОСТ 5582-75 — Нержавеющий прокат (отечественный аналог 316L — 03Х17Н14М3) для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в помещения (предварительные расчётные данные по аналогам)</w:t>
      </w:r>
    </w:p>
    <w:p>
      <w:r>
        <w:rPr>
          <w:sz w:val="20"/>
        </w:rPr>
        <w:t xml:space="preserve">Статус данных — «предварительные расчётные по аналогам» (редакция v4.1); подтверждение — по vendor data и при ПНР. Данные выдаются смежным разделам ОВиК и ВК (вне БИ).</w:t>
      </w:r>
    </w:p>
    <w:p>
      <w:r>
        <w:rPr>
          <w:sz w:val="20"/>
        </w:rPr>
        <w:t xml:space="preserve">ТЕПЛОВЫДЕЛЕНИЯ В ОБЪЁМ ЗАЛА. Баланс: полное джоулево тепловыделение серий ≈6,5 МВт, из них ≈3,77 МВт снимается холодильниками наружного контура, часть уносится аспирацией из-под колпаков (испарение с зеркала — доля определяется совместно с проектировщиком аспирации); в объём зала поступают: (а) теплоотдача наружных стенок ванн: боковая поверхность 2 × (8,645 + 1,315) × 1,8 = 35,9 м²/ванну; при температуре стенки ≤ 40 °С, воздуха +24 °С и суммарном коэффициенте теплоотдачи (конвекция + излучение) 10 Вт/(м²·К) (принято, уточняется в БИ): q = 35,9 × 16 × 10 ≈ 5,7 кВт/ванну; 180 ванн ≈ 1,0 МВт; (б) потери в межванновой ошиновке (открытые шины): 2 серии × 90 × 0,06 В × 42 450 А ≈ 0,46 МВт; (в) электроприводы и открытые горячие поверхности узла КСМ (промывка 60–115 °С) ≈ 0,1–0,15 МВт (по потребляемой мощности 105 кВт и остыванию промвод). ИТОГО в зал ≈ 1,5–1,6 МВт; удельно на площадь зала 6840 м² ≈ 230 Вт/м² — исходное для расчёта воздухообмена (температура в помещении +12…+24 °С по ИД, влажность &gt; 75 %).</w:t>
      </w:r>
    </w:p>
    <w:p>
      <w:r>
        <w:rPr>
          <w:sz w:val="20"/>
        </w:rPr>
        <w:t xml:space="preserve">ВЛАГОВЫДЕЛЕНИЯ: основное испарение — под колпаками, уносится аспирацией; в зал — при вскрытых ваннах (≈28 обслуживаний/сут по 3 подъёма 1/3 матриц) и с открытых зеркал зумпфов/карманов; количественная оценка — в БИ по графику вскрытий и площади открытых поверхностей.</w:t>
      </w:r>
    </w:p>
    <w:p>
      <w:r>
        <w:rPr>
          <w:sz w:val="20"/>
        </w:rPr>
        <w:t xml:space="preserve">ВЫДЕЛЕНИЯ ВРЕДНОСТЕЙ: аэрозоль серной кислоты — целевой уровень в воздухе рабочей зоны &lt; 0,2 мг/м³ (при ПДК 1 мг/м³ по ГОСТ 12.1.005) обеспечивается тремя барьерами: пенообразующая добавка (FC-1100/аналог), колпаки с бортотсосом (недостижение точки росы под колпаком), общеобменная вентиляция повышенной кратности (вне БИ); аэрозоль уносит соли Cu (ПДК 0,5 мг/м³) и Ni (ПДК 0,005 мг/м³ — лимитирующая вредность зала). Интенсивности выделений (г/ч на ванну закрытую/вскрытую) — расчёт БИ после фиксации расхода аспирации; до этого смежному разделу выдаются целевые концентрации и перечень контролируемых веществ. Контроль воздуха рабочей зоны — стационарные посты в зоне рядов и у КСМ + переносной контроль (программа производственного контроля — на стадии ОТР).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 в зал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≈1,5–1,6 МВт (стенки ванн ≈1,0 + ошиновка ≈0,46 + КСМ ≈0,1–0,15); ≈230 Вт/м²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(допущения показаны);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 в зале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+12…+24 °С; влажность &gt; 75 %; стенка ванны ≤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Аэрозоль H2SO4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цель &lt; 0,2 мг/м³ (ПДК 1 мг/м³); барьеры: добавка + колпаки + вентиляция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соли Ni: ПДК 0,005 мг/м³ (аэрозоль электролита содержит 20 кг/м³ Ni)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Влага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испарение под колпаки → аспирация; в зал — от ≈28 вскрытий/сут (оценка в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графика обслуживания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12.1.005-88 — ПДК рабочей зоны: H2SO4 1; Cu 0,5; соли Ni 0,005 мг/м³; СанПиН 1.2.3685-21 — Гигиенические нормативы микроклимата и воздуха рабочей зоны; СП 60.13330.2020 — ОВиК — использование выдаваемых тепло-/влаго-/газовыделений смежным разделом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отделения)</w:t>
      </w:r>
    </w:p>
    <w:p>
      <w:r>
        <w:rPr>
          <w:sz w:val="20"/>
        </w:rPr>
        <w:t xml:space="preserve">Статус — предварительные расчётные данные для раздела ОВОС проектной документации (подход, принятый v4.1 для выбросов: «расчётно, предварительно»; гарантийные значения — по данным изготовителей газоочистного оборудования на детальном этапе).</w:t>
      </w:r>
    </w:p>
    <w:p>
      <w:r>
        <w:rPr>
          <w:sz w:val="20"/>
        </w:rPr>
        <w:t xml:space="preserve">ВЫБРОСЫ В АТМОСФЕРУ. Организованный источник отделения — выхлоп системы аспирации ванн после мокрой очистки (скруббер; сама система вне БИ): 180 точек отсоса, загрязнитель — аэрозоль электролита (H2SO4 с растворёнными Cu 35–40, Ni 20 кг/м³); количественные показатели до/после очистки — расчёт после фиксации расхода аспирации и КПД скруббера по аналогам (задание на стыке). Неорганизованные выбросы — выброс общеобменной вентиляции зала: при целевой концентрации в воздухе &lt; 0,2 мг/м³ H2SO4 масса выброса пропорциональна воздухообмену (определяется ОВиК, вне БИ) — данные передаются в ОВОС после расчёта воздухообмена.</w:t>
      </w:r>
    </w:p>
    <w:p>
      <w:r>
        <w:rPr>
          <w:sz w:val="20"/>
        </w:rPr>
        <w:t xml:space="preserve">СБРОСЫ. Прямых сбросов в водные объекты от отделения нет: контур растворов замкнут на ГМУ — промывные воды КСМ и аспирации и зумпфовые воды возвращаются в циркуляционные баки; «грязная» вода КСМ (Cu ≥ 1,6 г/л, H2SO4 ≥ 2 г/л) направляется в ГМО; фильтрат и промводы шламового узла — в репульпатор поз. 4.1.21 ГМУ. Продувка оборотной СОВ — общеплощадочная система (вне БИ).</w:t>
      </w:r>
    </w:p>
    <w:p>
      <w:r>
        <w:rPr>
          <w:sz w:val="20"/>
        </w:rPr>
        <w:t xml:space="preserve">ОТХОДЫ (годовые, на расчётный выпуск ≈69,25 тыс. т): свинцовый шлам ванн — 25,9–30 т сух./год (Pb ≈ 50 %, влажность отмытого 20–30 %) — накопление в закрытой таре на площадке с химстойким покрытием, передача специализированной организации совместно с отработанными анодами; отработанные аноды — 2300 шт./год × 65 кг ≈ 149,5 т/год свинцового сплава (возвратное сырьё для переплавки); отбракованные матрицы — до 1150 шт./год × 50–55 кг ≈ 58–63 т/год (фактический лом меньше — часть возвращается в строй после ремонта обрамления, учёт в электронном реестре); отработанный ПП-профиль обрамления — до 2,77 т/год; тара реагентов (гуартек 17,3 т/год, аналог FC-1100 13,8 т/год — упаковка по данным поставщиков). Классы опасности отходов — паспортизация на стадии ОТР/ПД.</w:t>
      </w:r>
    </w:p>
    <w:p>
      <w:r>
        <w:rPr>
          <w:sz w:val="20"/>
        </w:rPr>
        <w:t xml:space="preserve">ФИЗИЧЕСКИЕ ФАКТОРЫ: шум — станция сдирки КСМ (прокатка/надрыв), краны, насосные (вне БИ) — уровни по паспортам поставщиков к расчёту акустики; постоянное магнитное поле ошиновки серий 42–47 кА — уровни на рабочих местах вдоль рядов рассчитываются в БИ, нормирование по СанПиН 1.2.3685-21.</w:t>
      </w:r>
    </w:p>
    <w:p>
      <w:r>
        <w:rPr>
          <w:sz w:val="20"/>
        </w:rPr>
        <w:t xml:space="preserve">РЕСУРСНАЯ ЭФФЕКТИВНОСТЬ (для материалов ОВОС): процесс регенерирует серную кислоту — ≈12,4 т/ч H2SO4 возвращается с оборотным раствором на выщелачивание; потребление свежей кислоты — только корректировочные 2719 т/год; водопотребление минимизировано оборотными схемами промывки КСМ (25 из 29 м³/ч — 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организованный источник (выхлоп аспирации, вне БИ) — данные до/после очистки расчётно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5.2.4; подход D-09 (v4.1)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прямых нет — контур замкнут на ГМУ/ГМО;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25,9–30 т сух./год, Pb ≈ 50 % — спецорганизация вместе с анодами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Металлолом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≈149,5 т/год (Pb-сплав, возврат); матрицы ≤ 58–63 т/год (316L, за вычетом ремонта)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8.5,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Регенерация кислоты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≈12,4 т/ч H2SO4 в оборот; свежая — только 2719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(98,08/63,55); 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Федеральный закон № 89-ФЗ — Обращение с отходами; паспортизация классов опасности; СанПиН 1.2.3685-21 — Нормативы для воздуха, шума, ЭМП на рабочих местах и границе СЗЗ; ГОСТ 12.1.005-88 — Перечень контролируемых веществ рабочей зоны для программы контроля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pPr>
        <w:pStyle w:val="Heading2"/>
      </w:pPr>
      <w:r>
        <w:rPr>
          <w:b/>
          <w:sz w:val="26"/>
        </w:rPr>
        <w:t xml:space="preserve">Разграничение поставки и стыковка границ с позициями «вне БИ»</w:t>
      </w:r>
    </w:p>
    <w:p>
      <w:r>
        <w:rPr>
          <w:sz w:val="20"/>
        </w:rPr>
        <w:t xml:space="preserve">По ТЗ (v3.6 — п. 5.3; в v4.1 границы Лота №3 — п. 6.2)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v3.6)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(C-100).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 (C-100)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ГМУ и общеплощадочными системами</w:t>
      </w:r>
    </w:p>
    <w:p>
      <w:r>
        <w:rPr>
          <w:sz w:val="20"/>
        </w:rPr>
        <w:t xml:space="preserve">Реестр межлотовых и межцеховых стыков (дополняет раздел границ «вне БИ», где заданы стыки с выпрямителями, трубопроводами, аспирацией, насосами, теплообменниками и шламовым узлом).</w:t>
      </w:r>
    </w:p>
    <w:p>
      <w:r>
        <w:rPr>
          <w:sz w:val="20"/>
        </w:rPr>
        <w:t xml:space="preserve">1) ГМУ / ВЫЩЕЛАЧИВАНИЕ (существующий передел по ИД ч.2, вне лотов): вход — богатый фильтрат контрольной фильтрации 124–125 м³/ч, 102,9 кг/м³ Cu, от ёмкости поз. 4.1.19 (температура на входе — через теплообменник поз. 4.1.17, вне БИ); выход — бедный электролит 124,7 м³/ч (35 Cu / 120 H2SO4 кг/м³; ≈12,4 т/ч регенерированной кислоты) в приёмный бак поз. 4.1.8; фильтрат и промводы шлама → репульпатор поз. 4.1.21; «грязная» вода КСМ → ГМО. Взаимные исходные данные: график готовности ГМУ к наработке стартового электролита (~2,8 тыс. м³) под ПНР серий.</w:t>
      </w:r>
    </w:p>
    <w:p>
      <w:r>
        <w:rPr>
          <w:sz w:val="20"/>
        </w:rPr>
        <w:t xml:space="preserve">2) ЛОТ №2 (купорос): отбор бедного электролита 3,2–3,5 м³/ч (27,3 тыс. м³/год) на растворение кристаллов медного купороса с возвратом раствора в контур (учтён в уравнении смешения — блок L3-MIX). Системная роль: отсечка богатого фильтрата на купоросную ветвь держит баланс примесей электролиза (Ni ≤ 20 г/л — лидирующая, Fe ≤ 3 г/л) — диапазон регулирования отбора является заданием Лоту №2 от Лота №3.</w:t>
      </w:r>
    </w:p>
    <w:p>
      <w:r>
        <w:rPr>
          <w:sz w:val="20"/>
        </w:rPr>
        <w:t xml:space="preserve">3) ЛОТ №4 (СГП): граница — передаточные ворота из отделения на СГП (ТЗ v4.1, таблица границ). Физический поток: пакеты катодов 2500 ± 50 кг, темп 8066,1 / 2500 ≈ 3,2 пакета/ч (≈77 пакетов/сут); конвейер автоматизированной транспортировки — в Лоте №3 до ворот, приём в автоматическом режиме от выходного конвейера КСМ — в Лоте №4. Ключевая увязка: «перфорация» пакета (профилирование части листов) обязана соответствовать грузозахватным механизмам, выбранным для СГП (прямое требование ТЗ) — оформляется совместным листом согласования КСМ ↔ СГП до заказа обеих машин. Информационный стык: ИС КСМ передаёт партии, веса, маркировку и данные пробоотбора в АСУ СГП и АИС весоизмерения.</w:t>
      </w:r>
    </w:p>
    <w:p>
      <w:r>
        <w:rPr>
          <w:sz w:val="20"/>
        </w:rPr>
        <w:t xml:space="preserve">4) ЛОТ №1 (обжиг): прямого физического стыка нет; связь балансовая через ГМУ — сквозной баланс меди (блок X-CU): 71,26 тыс. т Cu в шихте → ≈70,25 тыс. т доступно к катоду (невязка сведения 1,45 %); сценарная загрузка серий согласуется с планом обжига через план-задание АСУ верхнего уровня (единая информационно-управляющая система по ТЗ).</w:t>
      </w:r>
    </w:p>
    <w:p>
      <w:r>
        <w:rPr>
          <w:sz w:val="20"/>
        </w:rPr>
        <w:t xml:space="preserve">5) ОБЩЕПЛОЩАДОЧНЫЕ СИСТЕМЫ: серная кислота — продукционная от СКО рафинировочного цеха (2719 т/год); производственная вода — оз. Сопчъявр; нейтральная СОВ — 216 м³/ч на холодильники; единая диспетчерская — интеграция АСУ отделения в ОАСУ комплекса (Прил. №5).</w:t>
      </w:r>
    </w:p>
    <w:p>
      <w:r>
        <w:rPr>
          <w:sz w:val="20"/>
        </w:rPr>
        <w:t xml:space="preserve">ОРГАНИЗАЦИЯ: единый interface register по всем стыкам (физическая граница, среда/параметры, кто выдаёт ИД, срок) с матрицей ответственности; выдача исходных данных смежникам — в первой очереди поэтапной выдачи БИ (до старта ОТР); контрольные точки: компоновка, гидравлика контура, энергобаланс, карта сигналов, лист «перфорации» с Лотом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ГМУ: вход/выход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124–125 м³/ч (102,9 Cu) от поз. 4.1.19 / бедный 124,7 м³/ч в поз. 4.1.8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(границы)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3,2–3,5 м³/ч на растворение купороса; отсечка держит Ni ≤ 20, Fe ≤ 3 г/л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стык балансовый: 71,26 тыс. т Cu шихты → ≈70,25 тыс. т к катоду (X-CU)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блок X-CU (вкладка «Расчёты»)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от СКО 2719 т/год; вода оз. Сопчъявр; СОВ 216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8.5,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Оформление заданий смежным разделам и ведомостей ИД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отделения на этапе БИ (Приложение №4, ред. 2)</w:t>
      </w:r>
    </w:p>
    <w:p>
      <w:r>
        <w:rPr>
          <w:sz w:val="20"/>
        </w:rPr>
        <w:t xml:space="preserve">Цель модели БИ по ред. 2 Прил. №4 — проверка коллизий стадии «базовый инжиниринг» (выпуск ПД/РД из ЦИМ и спецификации «для стадии Р» из требований исключены); уровень проработки — LOD 200: габаритные тела оборудования, компоновка, основные трубопроводы и трассы, атрибуты уровня FEED.</w:t>
      </w:r>
    </w:p>
    <w:p>
      <w:r>
        <w:rPr>
          <w:sz w:val="20"/>
        </w:rPr>
        <w:t xml:space="preserve">СОСТАВ МОДЕЛИ ЛОТА №3: библиотечный компонент на каждый типоразмер (требование Прил. №4): ванна с колпаком и бортотсосом — один компонент, размещаемый массивом 2 × 90 с шагом 1,40 м; закорачивающая/подъёмная рамы; спецкран с траверсой-бороной; КСМ поблочно (промывка, сдирка, формирование пакетов, конвейеры); циркуляционный бак; узлы реагентов; шинные мосты и межванновая ошиновка (основные трассы); коллекторы DN350/DN80 и сборный воздуховод. Детализация — по листу «Стадия БИ_ТХ» нового Прил. №1 (листы АР/КР в состав БИ не входят — ред. 2).</w:t>
      </w:r>
    </w:p>
    <w:p>
      <w:r>
        <w:rPr>
          <w:sz w:val="20"/>
        </w:rPr>
        <w:t xml:space="preserve">ЗОНЫ ОБСЛУЖИВАНИЯ — объёмными элементами (обязательное требование Прил. №4): ход крюка и габарит траверсы с матрицами над колпаками (до +6…+7 м), зона перестановки крышек «матрёшкой», подванное пространство с трассой нутч-фильтра, ремзона КСМ, коридоры переноса закорачивающих рам, проходы обслуживания рядов (1,4–1,8 м).</w:t>
      </w:r>
    </w:p>
    <w:p>
      <w:r>
        <w:rPr>
          <w:sz w:val="20"/>
        </w:rPr>
        <w:t xml:space="preserve">КЛЮЧЕВЫЕ ПРОВЕРКИ КОЛЛИЗИЙ (по Таблице 3 ред. 2, применительно к лоту): траверса с матрицами ↔ фермы покрытия и колпаки соседних ванн; сборный воздуховод ↔ коллекторы электролита в межрядном пространстве (совмещение по высоте — самый плотный узел компоновки); шинные мосты ↔ проходы и металлоконструкции; рельсы нутча ↔ фундаменты и дренаж; конвейер пакетов ↔ строительные конструкции по трассе к воротам СГП.</w:t>
      </w:r>
    </w:p>
    <w:p>
      <w:r>
        <w:rPr>
          <w:sz w:val="20"/>
        </w:rPr>
        <w:t xml:space="preserve">АТРИБУТЫ И ПЕРЕДАЧА: классификация элементов IFC по типам/категориям (кодификатор ред. 2 не требует); рабочие механизмы в компонентах — «при наличии» (M-22); состав передачи: исходные файлы + IFC + сводная модель + отчёт «Описание ЦИМ»; выгрузка IFC в СОД Заказчика — раз в 4 недели; ПО — из рекомендуемого российского перечня (Model Studio CS и др.), фактическое — согласуется с Заказчиком. Выпуск ЦИМ — отдельным этапом графика БИ (ТЗ «Прочие условия»); модель Лота №3 собирается в сводную модель комплекса вместе с Лотами №1, №2,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LOD 200 (габариты, компоновка, основные трассы); цель — коллизии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2; BIMForum LOD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Компоненты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ванна+колпак (массив 2×90, шаг 1,40 м), краны, КСМ, баки, ошиновка, воздуховод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(библиотечные компоненты);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Зоны обслуживания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объёмные элементы: крюк до +6…+7 м, «матрёшка», нутч, ремзоны, проходы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(M-19);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«Описание ЦИМ»; выгрузка раз в 4 недели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(M-08, M-09)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2) — Требования к ЦИМ этапа БИ: компоненты, проверки Таблицы 3, состав передачи; ГОСТ Р 10.0.02-2019 (ИСО 16739) — Формат IFC для выгрузок в СОД Заказчика; ISO 19650 / BIMForum LOD Spec — Методическая база уровня проработки LOD 200 на стадии FEED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№3 (порядок формирования) и этапность выдачи БИ</w:t>
      </w:r>
    </w:p>
    <w:p>
      <w:r>
        <w:rPr>
          <w:sz w:val="20"/>
        </w:rPr>
        <w:t xml:space="preserve">Порядок — по разделу «Стоимость поставки по Лоту №3» ТЗ v4.1: (1) стоимость оборудования — бюджетные ТКП по основному оборудованию (требование «не менее 2–3 ТКП на каждую позицию» в v4.1 вычеркнуто — действует редакция «Бюджетные ТКП по основному оборудованию»); (2) бюджетная оценка общей стоимости комплектной поставки оборудования и материалов в границах п. 6.2 — с учётом АСУ с прикладным ПО (нагрузки, шунтирование, потоки, параметры) и специальных автоматических кранов электролизного зала (прямое требование ТЗ).</w:t>
      </w:r>
    </w:p>
    <w:p>
      <w:r>
        <w:rPr>
          <w:sz w:val="20"/>
        </w:rPr>
        <w:t xml:space="preserve">ПЕРЕЧЕНЬ ПОЗИЦИЙ ПОД ТКП (основное оборудование, ориентировочно 70–80 % стоимости поставки): электролизные ванны (180) с коллекторами и закладными; КСМ с формированием пакетов и изоляцией кромок; спецкраны (2) с траверсами; ошиновка; первичная загрузка матриц (15 120) и анодов (15 300); аспирационные укрытия (180); циркуляционные баки (2 × 300 м³); АСУ с ППО и системой mV-контроля. Остальное (узлы реагентов, металлоконструкции обслуживания, обвязка в границах, полевые КИП) — укрупнённые показатели и база аналогов КВАНТ. Класс точности итоговой оценки — Class 3 (±15–20 %, AACE 18R-97) — зафиксировать в договоре (позиция D-30).</w:t>
      </w:r>
    </w:p>
    <w:p>
      <w:r>
        <w:rPr>
          <w:sz w:val="20"/>
        </w:rPr>
        <w:t xml:space="preserve">В ЦЕНУ ПОСТАВКИ НЕ ВХОДЯТ (перечень «вне БИ» п. 6.3): выпрямители, магистральные шины, напорный/сливной трубопроводы, аспирация со скруббером, циркуляционные насосы, теплообменники, нутч-фильтр, обработка шлама, базовые краны — для сводного CAPEX Заказчика по этим позициям передаются задания на стыке (реестр границ). Строительная часть — вне поставки лота; справочная оценка нового корпуса — блоки NB-EW/NB-COST (корпус ЭЭ с электролитным отделением 6,6–9,6 млрд ₽, Class 5, вкладка «Стройка · CAPEX»).</w:t>
      </w:r>
    </w:p>
    <w:p>
      <w:r>
        <w:rPr>
          <w:sz w:val="20"/>
        </w:rPr>
        <w:t xml:space="preserve">ЛОГИСТИЧЕСКАЯ СОСТАВЛЯЮЩАЯ ЦЕНЫ: ≈3,3–3,4 тыс. т серийных грузов (ванны, электроды) до Мончегорска, упаковка по ГОСТ 15846; шеф-монтаж и ПНР поставщиков — в объёме поставки (прил. В п. 17); ЗИП АСУТП/КИП на 2 года (≥ 10 %, ≥ 1 шт. наименования — Прил. №5).</w:t>
      </w:r>
    </w:p>
    <w:p>
      <w:r>
        <w:rPr>
          <w:sz w:val="20"/>
        </w:rPr>
        <w:t xml:space="preserve">ЭТАПНОСТЬ ВЫДАЧИ МАТЕРИАЛОВ БИ (для старта ОТР до полного выпуска — ТЗ «Прочие условия»): 1-я очередь — балансы и электрический расчёт, PFD, перечень оборудования, задания на стыке смежникам, исходные требования на длинноцикловое; 2-я — компоновки, предварительные нагрузки, P&amp;ID, line list; 3-я — опросные листы, ТКП и бюджетная оценка, ЦИМ (отдельный этап). График выдач — в составе договора.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бюджетные, по основному оборудованию (~70–80 % стоимости); правка v4.1 учтена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«Стоимость поставки по Лоту №3»; D-29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бюджетная, комплектная поставка в границах п. 6.2, включая АСУ с ППО и спецкраны; Class 3 ±15–20 %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v4.1; AACE 18R-97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цены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позиций «вне БИ» (выпрямители, аспирация и др.) — задания на стыке для CAPEX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Логистика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≈3,3–3,4 тыс. т грузов; упаковка Крайний Север; шеф-монтаж и ЗИП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прил. В п. 17;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AACE RP 18R-97 — Класс точности оценки Class 3 (±15–20 %) — методическая база; ГОСТ 15846-2002 — Упаковка для транспортирования в районы Крайнего Севера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 (D-21/D-29)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