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ОЛ-ОВЭ75-05</w:t>
      </w:r>
    </w:p>
    <w:p>
      <w:r>
        <w:rPr>
          <w:b/>
          <w:sz w:val="28"/>
        </w:rPr>
        <w:t xml:space="preserve">Дымосос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Дымосос · ДН-15БНЖ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ДН-15БНЖ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Перемещение газа по газовому тракту, подача очищенного газа в СКЦ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по газу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78 000 м³/ч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комплектация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п.380-392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Привод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400 кВт, 6000 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Динамика (частота возмущения, масса агрегата)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п.391-392, 397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Массы дымососа / двигателя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п.392, 397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Температура перемещаемого газа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п.403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Полное давление (напор)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1650–7800 Па)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Регулирование производительности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рекомендован ЧРП — подтвердить схему регулирования в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Класс балансировки ротора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