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ОЛ-ОВЭ75-01</w:t>
      </w:r>
    </w:p>
    <w:p>
      <w:r>
        <w:rPr>
          <w:b/>
          <w:sz w:val="28"/>
        </w:rPr>
        <w:t xml:space="preserve">Печь кипящего слоя (КС)</w:t>
      </w:r>
    </w:p>
    <w:p>
      <w:r>
        <w:rPr>
          <w:color w:val="666666"/>
          <w:sz w:val="18"/>
        </w:rPr>
        <w:t xml:space="preserve">Лот №1 · Цех обжига · участок: Обжиг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Печь кипящего слоя (КС) · Характеристики по ИД ч.1 табл. 23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Изготовление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Окислительный обжиг шихты на основе медного концентрата ОРФ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по шихте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Производительность 10–16 т/ч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Геометрия аппарата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п.214-217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Температура слоя / время пребывания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п.230, 232-233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Единовременная загрузка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Единомоментное количество огарка в печи — 139,0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Дутьё (осн./вспом. вариант)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п.197-200, 223-225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п.218-219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п.238-239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(оценка)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6; кривая — проект футеровки (стадия БИ)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Изготовление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Комплектность поставки (сопла, футеровка, КИП, ЗИП)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состав поставки — по ТКП изготовителя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 (габариты доставки)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Срок изготовления и поставки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pech ks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