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ОЛ-ОВЭ75-05</w:t>
      </w:r>
    </w:p>
    <w:p>
      <w:r>
        <w:rPr>
          <w:b/>
          <w:sz w:val="28"/>
        </w:rPr>
        <w:t xml:space="preserve">Дымосос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Дымосос · ДН-15БНЖ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ДН-15БНЖ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Перемещение газа по газовому тракту, подача очищенного газа в СКЦ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по газу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78 000 м³/ч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комплектация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п.380-392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Привод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400 кВт, 6000 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Динамика (частота возмущения, масса агрегата)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п.391-392, 397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Массы дымососа / двигателя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п.392, 397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Температура перемещаемого газа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п.403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Полное давление (напор)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1650–7800 Па)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Регулирование производительности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рекомендован ЧРП — подтвердить схему регулирования в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Класс балансировки ротора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dymosos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