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color w:val="888888"/>
          <w:sz w:val="18"/>
        </w:rPr>
        <w:t xml:space="preserve">ФОРМА · цены и условия вносит владелец перед подачей — в файле только структура · ЭТУ СТРОКУ УДАЛИТЬ</w:t>
      </w:r>
    </w:p>
    <w:p>
      <w:r>
        <w:rPr>
          <w:b/>
          <w:sz w:val="32"/>
        </w:rPr>
        <w:t xml:space="preserve">Коммерческое предложение. Базовый инжиниринг ОВЭ-75</w:t>
      </w:r>
    </w:p>
    <w:p>
      <w:r>
        <w:rPr>
          <w:color w:val="444444"/>
          <w:sz w:val="19"/>
        </w:rPr>
        <w:t xml:space="preserve">ООО «КВАНТ» · к конкурсной процедуре КГМК.ОВЭ-75 · действительно до [дата]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2400"/>
        <w:gridCol w:w="2400"/>
        <w:gridCol w:w="2638"/>
      </w:tblGrid>
      <w:tr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Предмет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9"/>
              </w:rPr>
              <w:t xml:space="preserve">Этап 1, руб. без НДС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9"/>
              </w:rPr>
              <w:t xml:space="preserve">Этап 2, руб. без НДС</w:t>
            </w:r>
          </w:p>
        </w:tc>
        <w:tc>
          <w:tcPr>
            <w:tcW w:w="2638" w:type="dxa"/>
            <w:shd w:val="clear" w:fill="EFEFEF"/>
          </w:tcPr>
          <w:p>
            <w:r>
              <w:rPr>
                <w:b/>
                <w:sz w:val="19"/>
              </w:rPr>
              <w:t xml:space="preserve">Итого, руб. без НДС</w:t>
            </w:r>
          </w:p>
        </w:tc>
      </w:tr>
      <w:tr>
        <w:tc>
          <w:tcPr>
            <w:tcW w:w="4200" w:type="dxa"/>
          </w:tcPr>
          <w:p>
            <w:r>
              <w:rPr>
                <w:sz w:val="19"/>
              </w:rPr>
              <w:t xml:space="preserve">Лот №1 — Цех обжига</w:t>
            </w:r>
          </w:p>
        </w:tc>
        <w:tc>
          <w:tcPr>
            <w:tcW w:w="2400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  <w:tc>
          <w:tcPr>
            <w:tcW w:w="2400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  <w:tc>
          <w:tcPr>
            <w:tcW w:w="2638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</w:tr>
      <w:tr>
        <w:tc>
          <w:tcPr>
            <w:tcW w:w="4200" w:type="dxa"/>
          </w:tcPr>
          <w:p>
            <w:r>
              <w:rPr>
                <w:sz w:val="19"/>
              </w:rPr>
              <w:t xml:space="preserve">Лот №2 — Участок купороса</w:t>
            </w:r>
          </w:p>
        </w:tc>
        <w:tc>
          <w:tcPr>
            <w:tcW w:w="2400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  <w:tc>
          <w:tcPr>
            <w:tcW w:w="2400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  <w:tc>
          <w:tcPr>
            <w:tcW w:w="2638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</w:tr>
      <w:tr>
        <w:tc>
          <w:tcPr>
            <w:tcW w:w="4200" w:type="dxa"/>
          </w:tcPr>
          <w:p>
            <w:r>
              <w:rPr>
                <w:sz w:val="19"/>
              </w:rPr>
              <w:t xml:space="preserve">Лот №3 — Отделение электроэкстракции</w:t>
            </w:r>
          </w:p>
        </w:tc>
        <w:tc>
          <w:tcPr>
            <w:tcW w:w="2400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  <w:tc>
          <w:tcPr>
            <w:tcW w:w="2400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  <w:tc>
          <w:tcPr>
            <w:tcW w:w="2638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</w:tr>
      <w:tr>
        <w:tc>
          <w:tcPr>
            <w:tcW w:w="4200" w:type="dxa"/>
          </w:tcPr>
          <w:p>
            <w:r>
              <w:rPr>
                <w:sz w:val="19"/>
              </w:rPr>
              <w:t xml:space="preserve">Лот №4 — Склад готовой продукции</w:t>
            </w:r>
          </w:p>
        </w:tc>
        <w:tc>
          <w:tcPr>
            <w:tcW w:w="2400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  <w:tc>
          <w:tcPr>
            <w:tcW w:w="2400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  <w:tc>
          <w:tcPr>
            <w:tcW w:w="2638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</w:tr>
      <w:tr>
        <w:tc>
          <w:tcPr>
            <w:tcW w:w="4200" w:type="dxa"/>
          </w:tcPr>
          <w:p>
            <w:r>
              <w:rPr>
                <w:sz w:val="19"/>
              </w:rPr>
              <w:t xml:space="preserve">ЦИМ стадии БИ (отдельный этап)</w:t>
            </w:r>
          </w:p>
        </w:tc>
        <w:tc>
          <w:tcPr>
            <w:tcW w:w="2400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  <w:tc>
          <w:tcPr>
            <w:tcW w:w="2400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  <w:tc>
          <w:tcPr>
            <w:tcW w:w="2638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</w:tr>
      <w:tr>
        <w:tc>
          <w:tcPr>
            <w:tcW w:w="4200" w:type="dxa"/>
          </w:tcPr>
          <w:p>
            <w:r>
              <w:rPr>
                <w:b/>
                <w:sz w:val="19"/>
              </w:rPr>
              <w:t xml:space="preserve">ИТОГО</w:t>
            </w:r>
          </w:p>
        </w:tc>
        <w:tc>
          <w:tcPr>
            <w:tcW w:w="2400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  <w:tc>
          <w:tcPr>
            <w:tcW w:w="2400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  <w:tc>
          <w:tcPr>
            <w:tcW w:w="2638" w:type="dxa"/>
          </w:tcPr>
          <w:p>
            <w:r>
              <w:rPr>
                <w:color w:val="B22222"/>
                <w:sz w:val="19"/>
              </w:rPr>
              <w:t xml:space="preserve">[______]</w:t>
            </w:r>
          </w:p>
        </w:tc>
      </w:tr>
    </w:tbl>
    <w:p>
      <w:r>
        <w:rPr>
          <w:sz w:val="20"/>
        </w:rPr>
        <w:t xml:space="preserve">Итого с НДС: [сумма — вносит владелец после определения ставки].</w:t>
      </w:r>
    </w:p>
    <w:p>
      <w:r>
        <w:rPr>
          <w:sz w:val="20"/>
        </w:rPr>
        <w:t xml:space="preserve">Условия: оплата — [аванс/этапы, %]; срок выполнения — предлагаем зафиксировать: Этап 1 — 3 месяца, Этап 2 — ещё 3 месяца, всего не более 6 месяцев; цена — [твёрдая на весь срок работ / порядок индексации]; НДС — [ставка/без НДС]; цена включает два цикла рассмотрения замечаний Заказчика по каждому этапу; дополнительные итерации — по согласованию сторон</w:t>
      </w:r>
    </w:p>
    <w:p>
      <w:r>
        <w:rPr>
          <w:sz w:val="19"/>
        </w:rPr>
        <w:t xml:space="preserve">Примечания: срок Этапа 1 исчисляется с даты получения «варианта размещения» (генплана) и доступа к исходным данным; изменение состава или глубины работ относительно ТЗ v4.1 оформляется дополнительным соглашением сторон.</w:t>
      </w:r>
    </w:p>
    <w:p>
      <w:r>
        <w:rPr>
          <w:sz w:val="20"/>
        </w:rPr>
        <w:t xml:space="preserve"/>
      </w:r>
    </w:p>
    <w:p>
      <w:r>
        <w:rPr>
          <w:sz w:val="20"/>
        </w:rPr>
        <w:t xml:space="preserve">[должность]    [Ф.И.О.]    [подпись]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kp forma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