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№4 · Склад готовой продукции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01.09.2026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(перечень границ Лота №4 ТЗ v4.1; в предыдущей редакции — п. 6.2, номер пункта в v4.1 сверить):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БАЗИС РАЗМЕЩЕНИЯ (ТЗ v4.1 п.1.3, 25.08.2026): базовый сценарий — новый склад ГП (~32 тыс. м³) в составе комплекса нового строительства, смежно с новым корпусом электроэкстракции (оценка — в расчётной записке КВАНТ); размещение в существующем ЦЭМ (Прил. №6) — резервный сценарий А.</w:t>
      </w:r>
    </w:p>
    <w:p>
      <w:r>
        <w:rPr>
          <w:sz w:val="20"/>
        </w:rPr>
        <w:t xml:space="preserve">Резервный сценарий А — размещение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 — для обоих сценариев: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≈186 м (оси 1–32 × 6,0 м, ФМ-59415), парапет ≈ +17,8)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6.3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меди на матрицу: при фактической токовой нагрузке ≈505 А/электрод (252,7 А/м²), наращивании 6–7 сут и η = 89 % — 77–90 кг (в согласии с ИД табл. 3.1: катод-«книжка» 76,8–89,7 кг), т.е. 38–45 кг на один лист (SPLIT). Пакет 2500 кг ≈ 56–64 листа (28–32 матрицы); при номинале 280 А/м² — ≈54 листа.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(пред. ред.) п. 6.3 (в v4.1 — п. 7.x, сверить по перечню границ Лота №4 v4.1)).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(пред. ред.) п. 6.4 (в v4.1 — п. 7.x, сверить по перечню границ Лота №4 v4.1))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бо́льшую сторону (резерв площади предусмотреть).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Компоновочные решения склада</w:t>
      </w:r>
    </w:p>
    <w:p>
      <w:r>
        <w:rPr>
          <w:sz w:val="20"/>
        </w:rPr>
        <w:t xml:space="preserve">ПРИМЕЧАНИЕ О БАЗИСЕ: раздел относится к резервному сценарию А (существующий ЦЭМ); в базовом сценарии нового строительства (ТЗ v4.1 п.1.3) выдаётся задание на новый корпус склада ГП — полы и ж/д фронт проектируются заново.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≈186 м (оси 1–32 × 6,0 м, ФМ-59415);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ЦЭМ: пролёты 24 м (крановые 22 м), шаг 6 м, длина корпуса ≈186 м (оси 1–32 × 6,0 м, ФМ-59415); сетка компоновки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Требования к железнодорожному фронту нового склада (базис v4.1)</w:t>
      </w:r>
    </w:p>
    <w:p>
      <w:r>
        <w:rPr>
          <w:sz w:val="20"/>
        </w:rPr>
        <w:t xml:space="preserve">Базовый сценарий (ТЗ v4.1 п. 1.3, см. «БАЗИС РАЗМЕЩЕНИЯ» в разделе «Общие сведения»): ж/д фронт проектируется заново в составе нового склада ГП ~32 тыс. м³. Требования БИ:</w:t>
      </w:r>
    </w:p>
    <w:p>
      <w:r>
        <w:rPr>
          <w:sz w:val="20"/>
        </w:rPr>
        <w:t xml:space="preserve">1) ПУТЕВОЕ РАЗВИТИЕ: один внутренний погрузочный путь с вводом в отапливаемый корпус через ворота с тепловыми завесами; фронт одновременной постановки 4–6 полувагонов (60–90 м); путь в пределах фронта — прямой горизонтальный участок (СП 37.13330); габарит приближения строений внутри корпуса и проём ж/д ворот — по ГОСТ 9238-2013.</w:t>
      </w:r>
    </w:p>
    <w:p>
      <w:r>
        <w:rPr>
          <w:sz w:val="20"/>
        </w:rPr>
        <w:t xml:space="preserve">2) ОБРАБОТКА МАРШРУТА (расчёт БИ): отгрузочная партия-маршрут 20 полувагонов (540 пакетов, 1350 т) подаётся группами по 4–6 вагонов — 4–5 подач; погрузка подачи из 5 вагонов (135 пакетов) двумя штабелёрами ≈ 135 × 4 мин / 2 = 4,5 ч; чистое время погрузки маршрута ≈ 540 × 4 / 2 = 1080 мин = 18 ч (без учёта манёвров). Суточный вывоз 84 пакетов (3,1 полувагона) обеспечивается с запасом; узкое место — регламент маневровых перестановок (согласовать с ж/д цехом).</w:t>
      </w:r>
    </w:p>
    <w:p>
      <w:r>
        <w:rPr>
          <w:sz w:val="20"/>
        </w:rPr>
        <w:t xml:space="preserve">3) ВЕСОВОЙ КОНТРОЛЬ: вагонные весы на пути подачи, собственный фундамент, изолированный от плиты пола (Прил. №5); НПВ ≥100 т — брутто гружёного полувагона ≈ 67,5 т груза + тара 22–24 т (справочно, типовой 4-осный) = 90–92 т; тип весов (статические / для взвешивания в движении) — по схеме учёта (см. раздел АИС).</w:t>
      </w:r>
    </w:p>
    <w:p>
      <w:r>
        <w:rPr>
          <w:sz w:val="20"/>
        </w:rPr>
        <w:t xml:space="preserve">4) ВАРИАНТ ПОГРУЗКИ: полувагоны — мостовым краном с автоматической траверсой поверх фронта; крытые вагоны — штабелёрами с рампы через дверной проём; выбор — по роду подвижного состава (задание сбыта), в БИ прорабатываются оба (см. «Техпроцесс», операция 7). Размещение и крепление пакетов — по ТУ ЦМ-943 (НТУ/МТУ — на стадии ОТР/РД).</w:t>
      </w:r>
    </w:p>
    <w:p>
      <w:r>
        <w:rPr>
          <w:sz w:val="20"/>
        </w:rPr>
        <w:t xml:space="preserve">5) БЕЗОПАСНОСТЬ И ОРГАНИЗАЦИЯ: подача вагонов в корпус — при остановленных штабелёрах в зоне фронта (блокировка от АСУ, светозвуковая сигнализация); заход тепловоза внутрь корпуса нежелателен (выхлоп в отапливаемом объёме) — базово подача толкателем/маневровым устройством, решение — с ж/д цехом; переезды, пешеходные маршруты, СЦБ и примыкание к станции — задание генпроектировщику (строительная часть в стоимость лота не входит).</w:t>
      </w:r>
    </w:p>
    <w:p>
      <w:r>
        <w:rPr>
          <w:sz w:val="20"/>
        </w:rPr>
        <w:t xml:space="preserve">6) РЕЗЕРВНЫЙ СЦЕНАРИЙ А (ЦЭМ): использование существующего пути и проёма — по обмерному обследованию (габарит по ГОСТ 9238-2013); усиление пути, замена ворот — по дефектной ведомости обследования.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полувагонов (60–90 м), путь внутри отапливаемого корпуса, тепловые завесы ворот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п. 1.3 (базис)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Маршрут 20 вагонов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4–5 подач по 4–6 вагонов; погрузка подачи (5 ваг.) ≈4,5 ч; маршрута ≈18 ч двумя штабелёрами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(цикл 4 мин, 27 пакетов/вагон)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НПВ ≥100 т (брутто ≈90–92 т: 67,5 т груза + тара 22–24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тара — справочно по типовому ПС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Тяга в корпусе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Базово — подача без захода локомотива (толкатель/маневровое устройство)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(согласуется с ж/д цехом)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37.13330 (действующая редакция) — Промышленный ж/д транспорт — план/профиль погрузочного пути, фронты погрузки; ГОСТ 9238-2013 — Габариты приближения строений — внутренний путь, проём ж/д ворот; ТУ размещения и крепления грузов (ЦМ-943) — Крепление пакетов в вагонах (НТУ/МТУ — стадия ОТР/РД)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примыкания и путевого развития площадки (вариант размещения/генплан) — исходные данные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Маневровые средства и регламент подач (локомотив ж/д цеха / толкатель) — согласовать с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— задание сбыта: определяет вариант погрузки и НПВ весов</w:t>
      </w:r>
    </w:p>
    <w:p>
      <w:pPr>
        <w:pStyle w:val="Heading2"/>
      </w:pPr>
      <w:r>
        <w:rPr>
          <w:b/>
          <w:sz w:val="26"/>
        </w:rPr>
        <w:t xml:space="preserve">Нагрузки на полы и строительные конструкции</w:t>
      </w:r>
    </w:p>
    <w:p>
      <w:r>
        <w:rPr>
          <w:sz w:val="20"/>
        </w:rPr>
        <w:t xml:space="preserve">ПРИМЕЧАНИЕ О БАЗИСЕ: нагрузки ниже относятся к резервному сценарию А (существующий ЦЭМ); в базовом сценарии нового строительства (ТЗ v4.1 п.1.3) полы и ж/д фронт проектируются заново — задание на новый корпус.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p>
      <w:r>
        <w:rPr>
          <w:sz w:val="20"/>
        </w:rPr>
        <w:t xml:space="preserve">ТРЕБОВАНИЯ К ПОЛАМ ПОД АВТОМАТИЧЕСКИЕ ШТАБЕЛЁРЫ (сводно — в задание на новый корпус и в программу обследования ЦЭМ): покрытие — монолитная ж/б плита с упрочнённым верхним слоем (топпинг), без порогов и перепадов на маршрутах движения; ровность — просвет под двухметровой контрольной рейкой не более 4 мм (базовая норма приёмки бетонных покрытий полов, СП 71.13330); для систем автоматического позиционирования поставщики штабелёров задают более жёсткие допуски плоскостности и локальных уклонов — финальный класс ровности принимается по ТКП выбранной модели и вносится в задание на полы. В зоне адресного хранения полы безуклонные (уклон смещает стопы 2–3 ярусов и сбивает позиционирование); уклоны для стока — только в весовых и фронтовых зонах. Деформационные швы — вне колеи основных проездов; попадающие в колею — с жёстким заполнением (защита кромок шва и осей штабелёров от ударной нагрузки колеса 3,5–4,5 тс). Разметка адресных линий — износостойкая машиночитаемая (см. раздел АСУ). Антистатическое/токопроводящее исполнение не требуется — груз негорюч, категория помещения ожидаемо Д (подтверждается расчётом).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71.13330; 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пола; СП 71.13330.2017 — Изоляционные и отделочные покрытия — приёмка полов, контроль ровности двухметровой рейкой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Планы фундаментов с предварительными нагрузками, включая динамические (с запасом)</w:t>
      </w:r>
    </w:p>
    <w:p>
      <w:r>
        <w:rPr>
          <w:sz w:val="20"/>
        </w:rPr>
        <w:t xml:space="preserve">Состав — по ТЗ v4.1 (принятая редакция: «планы фундаментов с предварительными нагрузками, включая предварительные динамические нагрузки (с запасом)»).</w:t>
      </w:r>
    </w:p>
    <w:p>
      <w:r>
        <w:rPr>
          <w:sz w:val="20"/>
        </w:rPr>
        <w:t xml:space="preserve">1) ВАГОННЫЕ ВЕСЫ — отдельный ж/б фундамент на пути, изолированный от плиты пола (Прил. №5). Статика: брутто вагона ≈90–92 т (67,5 т груза + тара 22–24 т, справочно) → осевые (67,5 + 22…24)/4 = 22,4–22,9 тс/ось — в пределах стандартной осевой нагрузки сети. Динамика: проход и торможение состава на весовом участке — жёсткость основания и динамические коэффициенты по требованиям изготовителя весов (ТКП); в предварительных планах БИ — с запасом: коэффициент динамичности ≥1,2 к статическим осевым (решение БИ до получения данных изготовителя).</w:t>
      </w:r>
    </w:p>
    <w:p>
      <w:r>
        <w:rPr>
          <w:sz w:val="20"/>
        </w:rPr>
        <w:t xml:space="preserve">2) АВТОМОБИЛЬНЫЕ ВЕСЫ — фундамент/приямок с пандусами, отбойниками и демаркацией весовой зоны (Прил. №5); НПВ и длина грузоприёмного устройства — по типам автопоездов (задание сбыта).</w:t>
      </w:r>
    </w:p>
    <w:p>
      <w:r>
        <w:rPr>
          <w:sz w:val="20"/>
        </w:rPr>
        <w:t xml:space="preserve">3) ПЛАТФОРМЕННЫЕ КОНВЕЙЕРНЫЕ ВЕСЫ НПВ 3 т (2 шт.) — «специальные работы по фундаментам, защитным ограждениям, пандусам» (Прил. №5): жёсткое основание в составе плиты, исключение передачи вибраций конвейера (разделительный шов), электрообогрев приямков (см. «Расходы энергоресурсов»).</w:t>
      </w:r>
    </w:p>
    <w:p>
      <w:r>
        <w:rPr>
          <w:sz w:val="20"/>
        </w:rPr>
        <w:t xml:space="preserve">4) КОНВЕЙЕР ПРИЁМКИ — опоры на плиту пола через закладные; привод цепной тихоходный, динамика мала и покрывается коэффициентом надёжности по нагрузке; отдельные фундаменты не требуются (решение БИ).</w:t>
      </w:r>
    </w:p>
    <w:p>
      <w:r>
        <w:rPr>
          <w:sz w:val="20"/>
        </w:rPr>
        <w:t xml:space="preserve">5) КРАН (вариант полувагонов): новый корпус — вертикальные и горизонтальные крановые нагрузки на подкрановые балки по СП 20.13330 (исходные колёсные нагрузки — по ТКП крана); сценарий А — проверка существующих подкрановых путей ЦЭМ по обследованию.</w:t>
      </w:r>
    </w:p>
    <w:p>
      <w:r>
        <w:rPr>
          <w:sz w:val="20"/>
        </w:rPr>
        <w:t xml:space="preserve">6) ЗОНА ХРАНЕНИЯ — фундаментов не требует: нагрузки стоп (49,1/58,9 кПа при 2 ярусах) и колёсные штабелёров (3,5–4,5 тс) воспринимает плита пола (см. «Нагрузки на полы»).</w:t>
      </w:r>
    </w:p>
    <w:p>
      <w:r>
        <w:rPr>
          <w:sz w:val="20"/>
        </w:rPr>
        <w:t xml:space="preserve">Машин с неуравновешенными вращающимися массами (компрессоры большой мощности, дробилки) в лоте нет — специальные виброфундаменты по СП 26.13330 не требуются; «предварительные динамические (с запасом)» относятся к весовым, крановым и транспортным нагрузкам.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Осевые 22,4–22,9 тс/ось; изолированный фундамент; динамика — с запасом ≥1,2 до данных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фундаментов — всё воспринимает плита пола (49,1/58,9 кПа; колесо 3,5–4,5 тс)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Крановые нагрузки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 СП 20.13330 от колёсных нагрузок крана (ТКП); сценарий А — обследование путей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20.13330;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Виброфундаменты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требуются — динамических машин с неуравновешенными массами в лоте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крановые, транспортные, коэффициенты надёжности и динамичности; СП 26.13330.2012 — Фундаменты машин с динамическими нагрузками — справочно (виброфундаменты в лоте не требуются); СП 63.13330 (актуальная редакция) — Ж/б конструкции фундаментов весового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изготовителей весов (геометрия ГПУ,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НПВ и длина автомобильных весов — по типам автопоездов (задание сбыта)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Состав — по ТЗ v4.1 («Требования к монтажу (включая вес самых тяжелых частей)»); уровень БИ — предварительные данные по аналогам, детальный ППР — этап СМР.</w:t>
      </w:r>
    </w:p>
    <w:p>
      <w:r>
        <w:rPr>
          <w:sz w:val="20"/>
        </w:rPr>
        <w:t xml:space="preserve">ВЕСОВАЯ ТАБЛИЦА МОНТАЖНЫХ ЕДИНИЦ (известное на стадии БИ): самая тяжёлая самоходная единица — автопогрузчик-штабелёр, полная масса 8–11 т (заезд своим ходом через ворота ≥3,5 м, грузоподъёмные средства не требуются); транспортная единица продукции — пакет 2,5 ± 0,05 т (проверочный максимум 2,55 т); платформенные весы НПВ 3 т и сверловочный стенд — единицы ≤3 т (монтаж цеховыми средствами); конвейер приёмки — членение на отправочные секции массой ≤3,2 т под г/п цеховых средств (требование включается в задание на изготовление — решение БИ); мостовой кран с траверсой (вариант полувагонов) — масса моста и тележки по ТКП, балки моста длиной ≈ кранового пролёта 22 м — длинномерный груз: доставка ж/д платформой или автопоездом-длинномером, монтаж стреловым краном до замыкания кровли нового корпуса (либо через монтажный проём в сценарии А); грузоприёмное устройство вагонных весов — масса по ТКП, монтаж автокраном в проектное положение до укладки пути весового участка.</w:t>
      </w:r>
    </w:p>
    <w:p>
      <w:r>
        <w:rPr>
          <w:sz w:val="20"/>
        </w:rPr>
        <w:t xml:space="preserve">ПОСЛЕДОВАТЕЛЬНОСТЬ МОНТАЖА (базовый сценарий — новый корпус): фундаменты весового оборудования и закладные → полы с топпингом и машиночитаемой разметкой → ворота и тепловые завесы → мостовой кран (до замыкания теплового контура) → путь и вагонные весы → конвейер приёмки и технологическое оборудование → штабелёры, АСУ/АИС → ПНР и испытания (см. раздел «Испытания»). Сценарий А (ЦЭМ): монтаж в действующем корпусе с сохранением работы смежных пролётов; демонтаж существующего оснащения зоны — по дефектной ведомости обследования; монтажные окна согласуются с эксплуатацией.</w:t>
      </w:r>
    </w:p>
    <w:p>
      <w:r>
        <w:rPr>
          <w:sz w:val="20"/>
        </w:rPr>
        <w:t xml:space="preserve">ТРЕБОВАНИЯ К ПРОИЗВОДСТВУ РАБОТ: монтаж и пуск ПС (кран, траверса) — по ФНП (приказ Ростехнадзора № 461) с полным техническим освидетельствованием; ПРР при монтаже — по правилам № 753н и ГОСТ 12.3.009; монтаж систем автоматизации — по СП 77.13330; точная выставка весового оборудования — по установочным чертежам изготовителя (входят в поставку по Прил. №5); допуски установки конвейера и нанесения разметки — по требованиям поставщика системы позиционирования (ТКП).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самоходная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Длинномер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Балки моста крана ≈22 м (крановый пролёт) — спецперевозка, монтаж до замыкания кровли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 (пролёт);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Членение конвейера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Секции ≤3,2 т под г/п цеховых средств — в задание на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 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Мост/тележка крана, ГПУ вагонных весов, траверса — заполняются в таблицу масс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определяется на стадии БИ (ТКП)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Монтаж, полное техническое освидетельствование крана и траверсы; Правила по охране труда при ПРР (приказ Минтруда № 753н от 28.10.2020) — Погрузочно-разгрузочные работы при монтаже; СП 77.13330.2016 — Системы автоматизации — производство и приёмка монтажных работ АСУ/АИС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самых тяжёлых частей (мост крана, ГПУ вагонных весов, траверса) — заполнить по ТКП в итоговой редакции ПЗ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ЦЭМ (сценарий А) — обмерное обследование</w:t>
      </w:r>
    </w:p>
    <w:p>
      <w:pPr>
        <w:pStyle w:val="Heading2"/>
      </w:pPr>
      <w:r>
        <w:rPr>
          <w:b/>
          <w:sz w:val="26"/>
        </w:rPr>
        <w:t xml:space="preserve">АСУ склада: адресное хранение, партии, роботизированные операции</w:t>
      </w:r>
    </w:p>
    <w:p>
      <w:r>
        <w:rPr>
          <w:sz w:val="20"/>
        </w:rPr>
        <w:t xml:space="preserve">По ТЗ (пред. ред.) п. 6.4 (в v4.1 — п. 7.x, сверить по перечню границ Лота №4 v4.1)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Перечень чертежей графической части и приложений</w:t>
      </w:r>
    </w:p>
    <w:p>
      <w:r>
        <w:rPr>
          <w:sz w:val="20"/>
        </w:rPr>
        <w:t xml:space="preserve">Состав графической части — по ТЗ v4.1 («Требования к составу и содержанию БИ по СГП»); количество листов — оценка БИ; оформление — по ГОСТ Р 21.101-2020. P&amp;ID для Лота №4 ТЗ не требует (только PFD и схема КТС АСУ).</w:t>
      </w:r>
    </w:p>
    <w:p>
      <w:r>
        <w:rPr>
          <w:sz w:val="20"/>
        </w:rPr>
        <w:t xml:space="preserve">Г-1. PFD СГП с границами проектирования и информационными потоками — 1 лист.
Г-2. Компоновочный план СГП (базовый сценарий — новый склад ~32 тыс. м³): зонирование, адресная разметка (600 позиций в плане), проезды 3,5–4,0 м, сетка колонн 6/12 м, привязка к осям и отметкам; разрезы по зоне хранения и ж/д фронту — 2–3 листа.
Г-2а. Компоновка резервного сценария А в ЦЭМ (пролёты 24 м, оси 1–32) — 1–2 листа.
Г-3. План ж/д и автомобильного фронтов с весовыми зонами, пандусами, ограждениями и демаркацией (Прил. №5) — 1 лист.
Г-4. Планы с предварительными нагрузками на полы и конструкции (стопы 49,1/58,9 кПа; колесо штабелёра 3,5–4,5 тс; крановые — по ТКП/обследованию) — 1–2 листа.
Г-5. Планы фундаментов весового оборудования и конвейера с предварительными динамическими нагрузками (с запасом) — 1–2 листа.
Г-6. Требования к монтажу: схема монтажных зон, проёмов и путей подачи тяжёлых единиц — 1 лист.
Г-7. Схема комплекса технических средств АСУ СГП (трёхуровневая: датчики/приводы — ПЛК — серверы WMS/АРМ; интеграции ИС КСМ, АИС, ХТД PIMS, СКУД, единая диспетчерская) — 1 лист.
Г-8. Структурная схема АИС весоизмерения: 4 точки взвешивания, каналы связи (оптоволокно/витая пара, Wi-Fi в каждом шкафу, GSM-резерв) — 1 лист.
Г-9. Однолинейная схема электроснабжения 0,4 кВ СГП с итогами расчёта нагрузок — 1 лист (объём по Прил. №3 — по протоколу границ).</w:t>
      </w:r>
    </w:p>
    <w:p>
      <w:r>
        <w:rPr>
          <w:sz w:val="20"/>
        </w:rPr>
        <w:t xml:space="preserve">ПРИЛОЖЕНИЯ к ПЗ: спецификация оборудования (раздел «Спецификация»), комплект опросных листов (8 комплектов), ведомость ТКП, интерфейсные протоколы (Лот №3, сбытовой блок), таблица монтажных масс.</w:t>
      </w:r>
    </w:p>
    <w:p>
      <w:r>
        <w:rPr>
          <w:sz w:val="20"/>
        </w:rPr>
        <w:t xml:space="preserve">Итого графическая часть — ориентировочно 11–14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групп чертежей (Г-1…Г-9) + 5 приложений; ориентировочно 11–14 листов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состав по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по СГП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Основные требования к проектной и рабочей документации — оформление листов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и масштабы листов — согласовать со стандартом оформления Заказчика (запросить шаблоны)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</w:t>
      </w:r>
    </w:p>
    <w:p>
      <w:r>
        <w:rPr>
          <w:sz w:val="20"/>
        </w:rPr>
        <w:t xml:space="preserve">Состав по ТЗ (пред. ред.) п. 6.3 (в v4.1 — п. 7.x, сверить по перечню границ Лота №4 v4.1)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 и опросные листы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ОПРОСНЫЕ ЛИСТЫ (комплект БИ, 8 к-тов): весовое оборудование (4 типа точек взвешивания), штабелёры с системой позиционирования, кран-траверса, конвейер приёмки, сверловочный стенд, упаковочно-маркировочное оборудование, КТС АСУ/АИС (серверы, ПЛК, сеть, ИБП), зарядная станция. В ОЛ включаются гарантии производительности и точности (см. раздел «Испытания») и требование подтверждения соответствия ТР ТС 010/2011.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спецификации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200–300 физических I/O с запасом 30 % — основа выбора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Нестандарт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Подтверждение соответствия машин и оборудования — требование в ОЛ/ТКП; ГОСТ 15150-69 — Климатическое исполнение: УХЛ4 для оборудования в отапливаемом корпусе; исполнение у ворот/фронтов — уточнить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p>
      <w:r>
        <w:rPr>
          <w:sz w:val="20"/>
        </w:rPr>
        <w:t xml:space="preserve">ГОДОВОЕ ЭЛЕКТРОПОТРЕБЛЕНИЕ (сводка для ТЭП и запроса ТУ): средняя нагрузка СГП по сводному расчёту электрических нагрузок комплекса ≈0,08 МВт; годовое потребление ≈ 0,08 МВт × 8 760 ч = 0,70 млн кВт·ч/год (доминанта — зарядная станция штабелёров, освещение, электрообогрев весовых приямков). Значение согласовано с установленной мощностью 100–200 кВт (коэффициент использования 0,4–0,8) и входит слагаемым в сводную нагрузку комплекса ≈17,3 МВт (доминанта комплекса — выпрямление электроэкстракции Лота №3).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Годовое электропотребление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≈0,7 млн кВт·ч/год (0,08 МВт ср. × 8 760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нагрузок комплекса (БИ); арифметика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</w:t>
      </w:r>
    </w:p>
    <w:p>
      <w:r>
        <w:rPr>
          <w:sz w:val="20"/>
        </w:rPr>
        <w:t xml:space="preserve">Состав — по ТЗ v4.1 (ПЗ Лота №4: «Предварительные данные по подключении к сетям водо-, энерго-, воздухоснабжения»). Точки подключения зависят от варианта размещения (базис v4.1 — новый склад в комплексе нового строительства; генплан — исходные данные Заказчика) и фиксируются при выдаче задания на корпус.</w:t>
      </w:r>
    </w:p>
    <w:p>
      <w:r>
        <w:rPr>
          <w:sz w:val="20"/>
        </w:rPr>
        <w:t xml:space="preserve">ЭЛЕКТРОСНАБЖЕНИЕ: питание 0,4 кВ от КТП нового корпуса склада (сценарий А — от существующих ТП ЦЭМ, резерв мощности — по обследованию); установленная мощность СГП оценочно 100–200 кВт, средняя нагрузка ≈0,08 МВт, годовое потребление ≈0,7 млн кВт·ч (0,08 МВт × 8 760 ч); категории надёжности: I — АСУ/АИС/СПТ (через ИБП: АСУ ≥10 мин, АИС ≥20 мин двойного преобразования, АВР, SNMP), II — конвейер приёмки и весовое хозяйство, III — прочее (уточняется расчётом нагрузок по Прил. №3). Порядок: расчёт нагрузок для запроса ТУ выдаёт БИ; запрос и получение ТУ — зона Заказчика (позиция БИ — не держать график БИ на сроках сетевой организации).</w:t>
      </w:r>
    </w:p>
    <w:p>
      <w:r>
        <w:rPr>
          <w:sz w:val="20"/>
        </w:rPr>
        <w:t xml:space="preserve">ВОДОСНАБЖЕНИЕ/ВОДООТВЕДЕНИЕ: технологическая вода не требуется; хозпитьевое водоснабжение и бытовая канализация — только для бытовых/операторских помещений (расход — по штатной численности, определяется на стадии БИ); производственных стоков нет;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СЖАТЫЙ ВОЗДУХ: магистральный воздух в СГП не заводится; при пневмоинструменте обвязки/аппликаторах — локальный компрессор в комплекте оборудования (уточняется комплектацией).</w:t>
      </w:r>
    </w:p>
    <w:p>
      <w:r>
        <w:rPr>
          <w:sz w:val="20"/>
        </w:rPr>
        <w:t xml:space="preserve">ТЕПЛОСНАБЖЕНИЕ: подключение к тепловой сети корпуса; режимы +5…+10 °C (зона хранения, дежурное) и +18 °C (весовые/операторские); тепловая нагрузка отопления и вентиляции — расчёт генпроектировщика по строительному объёму ~32 тыс. м³.</w:t>
      </w:r>
    </w:p>
    <w:p>
      <w:r>
        <w:rPr>
          <w:sz w:val="20"/>
        </w:rPr>
        <w:t xml:space="preserve">СВЯЗЬ/ИТ: ЛВС Industrial Ethernet (IEEE 802.3/802.11); линии до серверов сбора ХТД PIMS — в объёме проекта, точка подключения — активное сетевое оборудование в помещении серверов PIMS (согласуется с Заказчиком); резервирование каналов GSM-модулями; Wi-Fi точка доступа — в каждом весовом шкафу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 от КТП корпуса; 100–200 кВт устан.; ср. 0,08 МВт; ≈0,7 млн кВт·ч/год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сводный расчёт нагрузок комплекса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Вода/стоки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хозбытовые (по штатной численности); производственных стоков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Магистральный не заводится; локальный компрессор при пневмоинструменте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 теплосети корпуса; нагрузка — расчёт генпроектировщика на объём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БИ (объём склада)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ИТ/связь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Оптика/витая пара до серверов PIMS, Wi-Fi в шкафах,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Расчёт электрических нагрузок для запроса ТУ; точки подключения — по ТУ сетевой организации; СП 30.13330 (актуальная редакция) — Внутренний водопровод и канализация — хозбытовые сети бытовых помещений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Вариант размещения (генплан) и точки подключения сетей — исходные данные Заказчика (запрошены)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Резерв мощности ТП ЦЭМ для сценария А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персонала контроля СГП → расходы хозбытовой воды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электрооборудованию (Приложение №3)</w:t>
      </w:r>
    </w:p>
    <w:p>
      <w:r>
        <w:rPr>
          <w:sz w:val="20"/>
        </w:rPr>
        <w:t xml:space="preserve">По ТЗ v4.1 для Лота №4: «Сведения по электрооборудованию по Приложению №3 (объем сведений уточняется с учетом согласованных границ проектирования)» — Прил. №3 само объявляет объём договорным, состав на стадии БИ фиксируется протоколом. Предлагаемый объём (уровень FEED):</w:t>
      </w:r>
    </w:p>
    <w:p>
      <w:r>
        <w:rPr>
          <w:sz w:val="20"/>
        </w:rPr>
        <w:t xml:space="preserve">1) РАСЧЁТ ЭЛЕКТРИЧЕСКИХ НАГРУЗОК: сводная таблица электроприёмников СГП (конвейер приёмки, весовое оборудование, упаковка/маркировка, зарядная станция 2–3 × 10–20 кВт, АСУ/АИС/СПТ, освещение, электрообогрев весовых приямков); установленная/расчётная мощность (оценочно 100–200 кВт установленной), категории надёжности по ПУЭ (I — АСУ/АИС через ИБП; II — приёмный тракт и весовое; III — прочее), итог — для сводного запроса ТУ комплекса. Приводов единичной мощностью ≥100 кВт в лоте нет — каталожные пусковые характеристики отдельно не приводятся.</w:t>
      </w:r>
    </w:p>
    <w:p>
      <w:r>
        <w:rPr>
          <w:sz w:val="20"/>
        </w:rPr>
        <w:t xml:space="preserve">2) ОДНОЛИНЕЙНАЯ СХЕМА 0,4 кВ: ввод от КТП корпуса, АВР для потребителей I категории, щит СГП (ВРУ), фидеры технологических групп, ИБП АСУ (≥10 мин) и АИС (≥20 мин) с байпасом и SNMP-платами; предварительный выбор сечений основных питающих кабелей.</w:t>
      </w:r>
    </w:p>
    <w:p>
      <w:r>
        <w:rPr>
          <w:sz w:val="20"/>
        </w:rPr>
        <w:t xml:space="preserve">3) ЗАЗЕМЛЕНИЕ И МОЛНИЕЗАЩИТА: мероприятия и тип системы заземления — концептуально; выбор типа заземлителя — детальный этап по данным изысканий; молниезащита нового корпуса — раздел генпроектировщика; в БИ — требования к заземлению весового оборудования и шкафов (шкафы IP65/IP55 на цоколе — Прил. №5).</w:t>
      </w:r>
    </w:p>
    <w:p>
      <w:r>
        <w:rPr>
          <w:sz w:val="20"/>
        </w:rPr>
        <w:t xml:space="preserve">4) ОСВЕЩЕНИЕ: требования к рабочему/аварийному освещению зоны автоматической техники и весовых по СП 52.13330; для машинного зрения и сканеров — стабильная освещённость без пульсаций (параметры — по ТКП систем позиционирования); светотехнический расчёт и выбор светильников — РД.</w:t>
      </w:r>
    </w:p>
    <w:p>
      <w:r>
        <w:rPr>
          <w:sz w:val="20"/>
        </w:rPr>
        <w:t xml:space="preserve">5) ТОКИ КЗ: расчёт в объёме, необходимом для предварительного выбора аппаратов 0,4 кВ.</w:t>
      </w:r>
    </w:p>
    <w:p>
      <w:r>
        <w:rPr>
          <w:sz w:val="20"/>
        </w:rPr>
        <w:t xml:space="preserve">6) ВЗРЫВООПАСНЫЕ ЗОНЫ: технологический процесс зон не образует (медь негорюча, категория ожидаемо Д); зарядная при Li-ion АКБ — без водородовыделения, класс взрывоопасной зоны не назначается (подтверждается расчётом категории помещения); при замене типа АКБ на свинцово-кислотные — зоны и вентиляция зарядной по ПУЭ.</w:t>
      </w:r>
    </w:p>
    <w:p>
      <w:r>
        <w:rPr>
          <w:sz w:val="20"/>
        </w:rPr>
        <w:t xml:space="preserve">7) ГРАНИЦА С РД: кабельные журналы, планы прокладки, светотехнический расчёт, спецификации материалов — рабочая документация (в объём БИ не входят, по границе ПД/РД ГОСТ Р 21.101). Опросные листы — на основное электрооборудование (щит СГП, ИБП, КТП при вхождении в лот).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100–200 кВт (уточнение по спецификации после ТКП)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по ПУЭ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— АСУ/АИС/СПТ (ИБП ≥10/≥20 мин, АВР); II — приёмный тракт, весовое; III — прочее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№3,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Крупные приводы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Приводов ≥100 кВт нет — пусковые характеристики отдельно не нормируются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(перечень оборудования)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Ex-зоны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образуются (Li-ion зарядная, негорючий груз) — подтверждается расчётом категории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электроснабжения; электроустановки зарядной (при свинцово-кислотных АКБ); СП 52.13330 (актуальная редакция) — Освещение зоны автоматической техники и весовых; ГОСТ Р 21.101-2020 — Граница состава БИ/РД: спецификации материалов и кабельные журналы — рабочая документация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на БИ пунктов Прил. №3 (объём электро-раздела)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тяговых АКБ штабелёров (базово Li-ion) — подтвердить по ТКП: определяет исполнение зарядной и вентиляцию</w:t>
      </w:r>
    </w:p>
    <w:p>
      <w:pPr>
        <w:pStyle w:val="Heading2"/>
      </w:pPr>
      <w:r>
        <w:rPr>
          <w:b/>
          <w:sz w:val="26"/>
        </w:rPr>
        <w:t xml:space="preserve">Межлотовые интерфейсы и исходные требования смежным разделам</w:t>
      </w:r>
    </w:p>
    <w:p>
      <w:r>
        <w:rPr>
          <w:sz w:val="20"/>
        </w:rPr>
        <w:t xml:space="preserve">1) ЛОТ №3 (электроэкстракция / КСМ) — главный интерфейс лота. По ТЗ v4.1 граница Лота №3 по продукту «Пакеты медных катодов» — «передаточные ворота из отделения электроэкстракции меди на СГП», то есть совпадает с входной границей Лота №4 — стыковка без разрыва. В объём Лота №3 входит «автоматизированная транспортировка пакетов катодной меди в помещение склада готовой продукции» — транспортный конвейер до СГП поставляется по Лоту №3; приёмная позиция и далее — Лот №4 (физический стык — в створе передаточных ворот, ответственность сторон фиксируется интерфейсным протоколом). Интерфейсные данные от Лота №3: конфигурация «перфорации» (профилирования) опорных листов — по ТЗ «должна быть увязана с выбранными грузозахватными механизмами, закладываемыми для работы на СГП» (встречное согласование: СГП выбирает захваты → КСМ профилирует листы); привязка и отметка выдающего конвейера КСМ; темп выдачи по графику выгрузки ванн (пик приёмки до 7 пакетов/ч — расчёт БИ); атрибуты пакета из ИС КСМ (№, масса, партия/плавка) и стандартизированная сопроводительная документация (ТЗ, требования к КСМ).</w:t>
      </w:r>
    </w:p>
    <w:p>
      <w:r>
        <w:rPr>
          <w:sz w:val="20"/>
        </w:rPr>
        <w:t xml:space="preserve">РАЗГРАНИЧЕНИЕ ОПЕРАЦИЙ (вопрос Заказчику): по ТЗ Лота №3 комплекс формирования пакетов КСМ уже включает «автоматический пробоотбор, весовой контроль, маркировку, увязку»; ТЗ Лота №4 одновременно требует от АСУ СГП автоматическое взвешивание и «отбор части катодов на сверловку». Принято в БИ до решения Заказчика: первичные операции — на КСМ (Лот №3); на СГП — входной допусковый контроль массы (2500 ± 50 кг), дотяжка увязки, партийная маркировка и дублирующий пробоотбор по заданию АСУ; матрица разграничения — в интерфейсный протокол Лот №3 ↔ Лот №4.</w:t>
      </w:r>
    </w:p>
    <w:p>
      <w:r>
        <w:rPr>
          <w:sz w:val="20"/>
        </w:rPr>
        <w:t xml:space="preserve">2) СМЕЖНЫЕ РАЗДЕЛЫ ПД (исходные требования генпроектировщику — задание на новый корпус склада ~32 тыс. м³): полезные нагрузки на полы 49,1 кПа (2 яруса; расчётная 58,9) / 73,6 кПа (3 яруса; расчётная 88,3), колёсные 3,5–4,5 тс; электропотребность 100–200 кВт (I категория для АСУ/АИС); микроклимат +5…+10 °C (зона хранения) и +18 °C (весовые/операторские); категория помещений по пожарной опасности — ожидаемо Д (подтвердить расчётом); ж/д фронт 4–6 вагонов (60–90 м) и автофронт 2 поста с весовыми зонами; бытовые помещения — по СП 44.13330; трассы связи до серверов PIMS. Выдача — комплектом «задание на корпус» на этапе компоновок (поэтапная выдача БИ).</w:t>
      </w:r>
    </w:p>
    <w:p>
      <w:r>
        <w:rPr>
          <w:sz w:val="20"/>
        </w:rPr>
        <w:t xml:space="preserve">3) АСУ-ИНТЕГРАЦИИ: ИС КСМ (Лот №3), АИС весоизмерения, ХТД PIMS, СКУД, единая диспетчерская (ТЗ п. 2.10) — состав и протоколы см. разделы «АСУ» и «АИС».</w:t>
      </w:r>
    </w:p>
    <w:p>
      <w:r>
        <w:rPr>
          <w:sz w:val="20"/>
        </w:rPr>
        <w:t xml:space="preserve">4) СБЫТОВОЙ БЛОК: род подвижного состава, размер и периодичность партий (маршруты/судовые), требования клеймения и этикеток ЛБМ, график вывоза — исходные данные для калибровки буфера (раздел «Ёмкость»), выбора варианта ж/д погрузки и НПВ весов.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Граница Лот №3/№4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Конвейер до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«Перфорация» пакета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Задание смежникам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расчёт/решение БИ (сводка разделов)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44.13330 (актуальная редакция) — Административные и бытовые здания — состав бытовых помещений (задание генпроектировщику)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Матрица разграничения операций КСМ (Лот №3) ↔ СГП (Лот №4): пробоотбор, взвешивание, маркировка, увязка — решение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Лот №3 ↔ Лот №4 (физический стык конвейера, форматы обмена ИС КСМ ↔ АСУ СГП, профиль «перфорации») — разработать на первом этапе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Исходные данные сбытового блока (род ПС, партии, ЛБМ-клеймение, график вывоза) — запросить у Заказчика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 и метрологии</w:t>
      </w:r>
    </w:p>
    <w:p>
      <w:r>
        <w:rPr>
          <w:sz w:val="20"/>
        </w:rPr>
        <w:t xml:space="preserve">Требования к испытаниям закладываются в БИ (в опросные листы, ТКП и задания на поставку); программы и методики испытаний (ПМИ) разрабатываются поставщиками на этапе поставки/ПНР — граница объёма БИ.</w:t>
      </w:r>
    </w:p>
    <w:p>
      <w:r>
        <w:rPr>
          <w:sz w:val="20"/>
        </w:rPr>
        <w:t xml:space="preserve">1) МЕТРОЛОГИЯ И АИС ВЕСОИЗМЕРЕНИЯ (Прил. №5): все СИ — из Госреестра СИ РФ, с паспортами, методиками поверки и первичной поверкой до отгрузки (непроверенные СИ в поставку не допускаются); поверочные грузы соответствующего класса — в комплекте поставки; метрологическое обеспечение измерительных каналов АИС — по ГОСТ Р 8.596; коммерческий учёт отгрузки — сфера госрегулирования ОЕИ (ФЗ-102): вагонные и автомобильные весы — утверждённого типа, поверка по методике из описания типа. Приёмочные испытания АИС включают проверку: сквозной передачи каждого взвешивания в ХТД PIMS с дополнением атрибутами; «безадресных» взвешиваний по QR-коду с передачей по REST; идентификации оператора по пропуску СКУД (и резервной — по учётной записи); автономной работы с накоплением данных при имитации потери связи с PIMS; работы от ИБП ≥20 мин при имитации пропадания питания (АВР); печати маркировки и сопроводительного документа на обоих типах принтеров.</w:t>
      </w:r>
    </w:p>
    <w:p>
      <w:r>
        <w:rPr>
          <w:sz w:val="20"/>
        </w:rPr>
        <w:t xml:space="preserve">2) АСУ СГП: испытания по ГОСТ 34.603 (предварительные → опытная эксплуатация → приёмочные); прикладное ПО проходит отладку, испытания и приёмку «в условиях, приближенных к условиям применения» (Методика ЕТТ, Прил. №5). Обязательные сценарии: восстановление карты склада («что и где стоит») после имитации сбоя — без ручной инвентаризации (требование устойчивости ПО); полный цикл партии в автоматическом режиме (приёмка → адрес → набор → контрольное взвешивание → отгрузочная ведомость); блокировка отгрузки партии до подтверждения химанализа; функции безопасности (сканеры штабелёров, аварийные остановы по зонам, блокировка калиток СКУД, светозвуковая сигнализация).</w:t>
      </w:r>
    </w:p>
    <w:p>
      <w:r>
        <w:rPr>
          <w:sz w:val="20"/>
        </w:rPr>
        <w:t xml:space="preserve">3) ГАРАНТИЙНЫЕ ПОКАЗАТЕЛИ (в ТКП и договор поставки): производительность приёмки ≥7 пакетов/ч (пик), отгрузки ≥84 пакета/сут; точность учёта — весовое оборудование класса «высокий»; доступность автоматического режима (KPI) — значение согласуется с Заказчиком; подтверждение — непрерывный контрольный прогон по программе испытаний (длительность — в ПМИ).</w:t>
      </w:r>
    </w:p>
    <w:p>
      <w:r>
        <w:rPr>
          <w:sz w:val="20"/>
        </w:rPr>
        <w:t xml:space="preserve">4) ГПМ И ГРУЗОЗАХВАТЫ: кран — полное техническое освидетельствование по ФНП № 461 (статические испытания 1,25·Q, динамические 1,1·Q); траверса (съёмное грузозахватное приспособление) — испытания после изготовления нагрузкой 1,25 паспортной г/п, осмотры в эксплуатации по ФНП; испытания захвата — на пакетах с фактическим профилем «перфорации» (интерфейс Лота №3).</w:t>
      </w:r>
    </w:p>
    <w:p>
      <w:r>
        <w:rPr>
          <w:sz w:val="20"/>
        </w:rPr>
        <w:t xml:space="preserve">5) ШТАБЕЛЁРЫ И ПОЗИЦИОНИРОВАНИЕ: приёмо-сдаточные испытания у изготовителя (ТР ТС 010/2011), на объекте — подтверждение точности постановки пакета по адресу (допуск — по ТКП системы позиционирования) и отработка сценариев безопасности.</w:t>
      </w:r>
    </w:p>
    <w:p>
      <w:r>
        <w:rPr>
          <w:sz w:val="20"/>
        </w:rPr>
        <w:t xml:space="preserve">6) СТРОИТЕЛЬНАЯ ПРИЁМКА ПОД ТЕХНОЛОГИЮ: ровность полов двухметровой рейкой (СП 71.13330, см. «Нагрузки на полы»), геометрия адресной разметки — тест машиночитаемости штатными сканерами до ПНР.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Поверка 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— до отгрузки; поверочные грузы в поставке; весы отгрузки — утверждённого типа (ОЕИ)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ФЗ-102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АИС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Сквозная передача в PIMS, REST/QR, СКУД-идентификация, автономность при потере связи, ИБП ≥20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(функции АИС)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ГОСТ 34.603; восстановление карты склада без инвентаризации; полный цикл партии в автомате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34.603;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Кран/траверса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ПТО по ФНП №461: статика 1,25·Q, динамика 1,1·Q; траверса — 1,25 г/п после изготовления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по ПС №461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≥7 пакетов/ч пик; ≥84 пакета/сут; класс точности «высокий»; KPI доступности — согласуется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Единство измерений — коммерческий учёт, утверждение типа, поверка; ГОСТ Р 8.596-2002 — Метрологическое обеспечение измерительных каналов АИС; ГОСТ 34.603-92 — Виды испытаний автоматизированных систем — предварительные, опытная эксплуатация, приёмочные; ФНП по ПС (приказ Ростехнадзора № 461) — Освидетельствование и испытания крана и траверсы; ТР ТС 010/2011 — Приёмо-сдаточные испытания машин (штабелёры, конвейер)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Значение KPI доступности автоматического режима и длительность контрольного прогона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Допуск точности постановки пакета по адресу — по ТКП системы позиционирования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поверки вагонных весов (статика / в движении) — после выбора типа весов (см. раздел АИС)</w:t>
      </w:r>
    </w:p>
    <w:p>
      <w:pPr>
        <w:pStyle w:val="Heading2"/>
      </w:pPr>
      <w:r>
        <w:rPr>
          <w:b/>
          <w:sz w:val="26"/>
        </w:rPr>
        <w:t xml:space="preserve">Данные для раздела ОВОС</w:t>
      </w:r>
    </w:p>
    <w:p>
      <w:r>
        <w:rPr>
          <w:sz w:val="20"/>
        </w:rPr>
        <w:t xml:space="preserve">Исходные данные Лота №4 для раздела ОВОС комплекса (выдаются генпроектировщику в составе задания на корпус).</w:t>
      </w:r>
    </w:p>
    <w:p>
      <w:r>
        <w:rPr>
          <w:sz w:val="20"/>
        </w:rPr>
        <w:t xml:space="preserve">ВЫБРОСЫ В АТМОСФЕРУ: технологических выбросов процесс СГП не создаёт — все операции механические, привод электрический, штабелёры на Li-ion АКБ (без выхлопа), технологического пара и топлива нет (см. «Расходы энергоресурсов»); вентиляция — общеобменная без вредностей. Передвижной источник вне границ лота — маневровый локомотив на ж/д фронте (учитывается в ОВОС комплекса по данным ж/д цеха; базовое решение БИ — подача вагонов в корпус без захода локомотива).</w:t>
      </w:r>
    </w:p>
    <w:p>
      <w:r>
        <w:rPr>
          <w:sz w:val="20"/>
        </w:rPr>
        <w:t xml:space="preserve">СБРОСЫ: производственных сточных вод нет; бытовые — от помещений персонала (по штатной численности, определяется на стадии БИ);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ОТХОДЫ (ФЗ-89): упаковочные материалы уходят с продукцией (лента увязки — часть товарного пакета) — отходом склада являются только обрезки и брак ленты при дотяжке/переувязке (норматив — по факту освоения, см. «Расходы энергоресурсов»); подложка этикеток и отработанные риббоны — от расхода 60 000 этикеток/год (30 000 пакетов × 2 шт.); отработанные Li-ion АКБ штабелёров (парк 3 машины; периодичность замены — по ресурсу ТКП) — передача специализированной организации; люминесцентных источников нет (LED-освещение — решение БИ); ТКО персонала. Класс опасности и паспортизация отходов — на стадии эксплуатации.</w:t>
      </w:r>
    </w:p>
    <w:p>
      <w:r>
        <w:rPr>
          <w:sz w:val="20"/>
        </w:rPr>
        <w:t xml:space="preserve">ФИЗИЧЕСКИЕ ФАКТОРЫ: источники шума — штабелёры, вентиляция, маневровая работа на ж/д фронте; оценка уровней на границе нормируемых территорий — акустический расчёт в составе ОВОС по шумовым характеристикам из ТКП; защита от шума — по СП 51.13330. Ионизирующих, электромагнитных (сверх обычных электроустановок 0,4 кВ) и тепловых источников нет.</w:t>
      </w:r>
    </w:p>
    <w:p>
      <w:r>
        <w:rPr>
          <w:sz w:val="20"/>
        </w:rPr>
        <w:t xml:space="preserve">АВАРИЙНЫЕ СЦЕНАРИИ: обращающееся вещество — катодная медь (негорюча, нетоксична в компактной форме); категория помещений — ожидаемо Д (подтверждается расчётом по СП 12.13130); проливов и выбросов при авариях нет; аварийный сценарий логистический (падение пакета 2,5 т) — локальный, без экологических последствий.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Технологических нет (электропривод, Li-ion, без топлива и пара)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(разделы «Техпроцесс», «Энергоресурсы»)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Отходы этикетирования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Подложка/риббоны от 60 000 этикеток/год (30 000 пакетов ×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АКБ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Отработанные Li-ion (парк 3 штабелёров) — передача специализированной организации; ресурс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Шум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Штабелёры, вентиляция, манёвры ж/д — акустический расчёт по данным ТКП; защита по СП 51.13330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ФЗ-89 от 24.06.1998 — Отходы производства и потребления — обращение с отходами упаковки и АКБ; СП 51.13330 (актуальная редакция) — Защита от шума — источники СГП в акустическом расчёте комплекса; СП 12.13130 и 123-ФЗ — Категорирование помещений (ожидаемо Д — подтверждается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Шумовые характеристики штабелёров и вентоборудования — из ТКП для акустического расчёта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Ресурс и периодичность замены Li-ion АКБ (объём отхода)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→ бытовые стоки и ТКО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ЦИМ склада на этапе БИ (Приложение №4)</w:t>
      </w:r>
    </w:p>
    <w:p>
      <w:r>
        <w:rPr>
          <w:sz w:val="20"/>
        </w:rPr>
        <w:t xml:space="preserve">По ТЗ v4.1 («Прочие условия»):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 Требования Прил. №4 — в ред. 2 от 25.08.2026 (ТЗ на ЦИМ): этап определён как «Разработка ЦИМ стадии „базовый инжиниринг“», цель — проверка коллизий стадии БИ; перечень ПО — рекомендуемый, используемое ПО согласуется с Заказчиком (базово — российский стек Model Studio CS / nanoCAD); выгрузка рабочих моделей в IFC — раз в 4 недели; состав передачи: модели в исходном формате и IFC, сводная модель IFC, отчёт «Описание ЦИМ»; информационная детализация (LOI) стадии БИ охватывает только оборудование — листы ТХ и ЭОМ/СС/АК нового Прил. 1.</w:t>
      </w:r>
    </w:p>
    <w:p>
      <w:r>
        <w:rPr>
          <w:sz w:val="20"/>
        </w:rPr>
        <w:t xml:space="preserve">СОСТАВ МОДЕЛИ ЛОТА №4 (раздел ТХ): габаритные тела с зонами обслуживания/проездов объёмными элементами: конвейер приёмки с весовой позицией и позицией разбраковки; сверловочный стенд; узел упаковки/маркировки; зона адресного хранения — 600 позиций в плане, стопы 2 ярусов условными объёмами; штабелёры — габарит с коридорами манёвра (проезды 3,5–4,0 м); зарядная станция; кран с траверсой и зоной обслуживания (вариант полувагонов); вагонные и автомобильные весы с весовыми зонами и пандусами; шкафы АСУ/АИС и трассы (лист ЭОМ/СС/АК); ограждение автоматической зоны с калитками. Библиотечный компонент — на каждый типоразмер оборудования; модель склада — отдельным файлом от моделей других корпусов (деление по зданиям). Уровень геометрии — эскизный (позиция БИ: LOD 200 — габариты, присоединения, зоны; фиксируется протоколом LOD/LOI до начала моделирования). Монтажные модели по отправочным маркам — этап детального инжиниринга/поставки (позиция БИ).</w:t>
      </w:r>
    </w:p>
    <w:p>
      <w:r>
        <w:rPr>
          <w:sz w:val="20"/>
        </w:rPr>
        <w:t xml:space="preserve">ПРОВЕРКИ КОЛЛИЗИЙ: автоматические, по перечню Таблицы 3 Прил. №4 ред. 2 (оборудование ↔ строительные конструкции ↔ зоны обслуживания); критично для Лота №4: габариты проездов штабелёров, габарит приближения ж/д внутри корпуса (ГОСТ 9238-2013), зоны обслуживания весов и крана, высота мачты штабелёра у ворот (≥3,5 м). Отчёт «Описание ЦИМ» — в составе передачи этапа.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этапа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 БИ; стадия модели — «базовый инжиниринг», цель — проверка коллизий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«Прочие условия»; Прил. №4 ред. 2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Выгрузка/передача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IFC раз в 4 недели; итог: исходники + IFC + сводная модель +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LOI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оборудование: листы «Стадия БИ_ТХ» и ЭОМ/СС/АК нового Прил. 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геометрии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Эскизный (LOD 200: габариты, присоединения, зоны) — фиксируется протоколом LOD/LOI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 BIMForum LOD)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выполнению ЦИМ на этапе БИ — состав, форматы, проверки коллизий; ISO 19650 / BIMForum LOD Spec — Справочная рамка уровней проработки — обоснование уровня LOD 200 для модели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LOD/LOI модели БИ — согласовать с Заказчиком до начала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Прил. №4 ред. 2 на «таблицу 4» (перечень проверок — Таблица 3) — запросить корректировку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графике БИ не задан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Этапность выдачи материалов БИ по Лоту №4</w:t>
      </w:r>
    </w:p>
    <w:p>
      <w:r>
        <w:rPr>
          <w:sz w:val="20"/>
        </w:rPr>
        <w:t xml:space="preserve">Материалы БИ выдаются поэтапно «для начала выполнения ОТР до полного выпуска БИ» (ТЗ v4.1, «Прочие условия»). Проект этапности передан Заказчиком 25.08.2026 вне официальной редакции ТЗ; раскладка по Лоту №4:</w:t>
      </w:r>
    </w:p>
    <w:p>
      <w:r>
        <w:rPr>
          <w:sz w:val="20"/>
        </w:rPr>
        <w:t xml:space="preserve">ЭТАП 1 (3 месяца) — предварительный отчёт БИ: разделы ПЗ «Общие сведения», «Данные об обрабатываемой продукции», «Описание техпроцесса», «Расходы материалов и энергоресурсов», «Перечень оборудования», «Подключение к сетям»; графическая часть: PFD, компоновочные решения, спецификация оборудования, опросные листы. (Матбалансы и исходные требования на длинноцикловое — в составе Лота №4 по ТЗ отсутствуют.)</w:t>
      </w:r>
    </w:p>
    <w:p>
      <w:r>
        <w:rPr>
          <w:sz w:val="20"/>
        </w:rPr>
        <w:t xml:space="preserve">ЭТАП 2 (итоговый отчёт; позиция КВАНТ по сроку: +3 месяца, суммарно не более 6) — дополнительно: планы с предварительными нагрузками, планы фундаментов с предварительной динамикой (с запасом), требования к монтажу, сведения по электрооборудованию (Прил. №3), схема КТС АСУ.</w:t>
      </w:r>
    </w:p>
    <w:p>
      <w:r>
        <w:rPr>
          <w:sz w:val="20"/>
        </w:rPr>
        <w:t xml:space="preserve">ЦИМ — отдельным этапом (ТЗ); срок этапа в проекте этапности не задан. Стоимостной блок в этапах не назван — предложение БИ: предварительная оценка по укрупнённым показателям — в Этап 1, бюджетные ТКП по основному оборудованию и бюджетная оценка комплектной поставки — в Этап 2.</w:t>
      </w:r>
    </w:p>
    <w:p>
      <w:r>
        <w:rPr>
          <w:sz w:val="20"/>
        </w:rPr>
        <w:t xml:space="preserve">РАННИЕ ИСХОДНЫЕ ДАННЫЕ ОТ ЗАКАЗЧИКА ДЛЯ ЭТАПА 1 (критический путь Лота №4): вариант размещения (генплан) нового склада; схема ж/д путевого развития; задание сбыта (род подвижного состава, партии); интерфейсные данные Лота №3 (профиль «перфорации», привязка конвейера КСМ). Без них компоновка, ж/д фронт и опросные листы грузозахватов в 3-месячный срок не выдаются.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мес: ПЗ (6 разделов) + PFD, компоновки, спецификация,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(25.08.2026, вне ТЗ)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Итоговый отчёт: нагрузки, фундаменты с динамикой, монтаж, электро Прил. №3, КТС АСУ; позиция КВАНТ — суммарно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этапности; позиция КВАНТ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Стоимость по этапам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укрупнённая оценка; Этап 2 — бюджетные ТКП и бюджетная оценка поставки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предложение БИ (пробел проекта этапности)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этапности (передана вне редакции ТЗ v4.1) — внести в ТЗ/договор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Этапность по каждому лоту отдельно (4 отчёта)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— зафиксировать в графике договора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 пред. ред. (в v4.1 — п. 7.x, сверить по перечню границ Лота №4 v4.1).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p>
      <w:r>
        <w:rPr>
          <w:sz w:val="20"/>
        </w:rPr>
        <w:t xml:space="preserve">АКТУАЛИЗАЦИЯ ПО ТЗ v4.1 (25.08.2026): строка «не менее 2-х – 3-х ТКП на каждую позицию оборудования» в v4.1 вычеркнута — действует редакция «Бюджетные ТКП по основному оборудованию»; оценка общей стоимости комплектной поставки — «бюджетная», в границах проектирования п. 7.2 ТЗ v4.1. Позиция БИ: класс точности бюджетной оценки зафиксировать в договоре как AACE Class 3 (±15–20 %); перечень «основного оборудования» для бюджетных ТКП (ориентир — 70–80 % стоимости поставки лота: весовое хозяйство с АИС, штабелёры с системой позиционирования, кран-траверса, конвейер приёмки, АСУ) закрепить протоколом, остальное — по укрупнённым показателям.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 ТЗ пред. ред. (в v4.1 — п. 7.x)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Редакция v4.1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оборудованию; бюджетная оценка комплектной поставки в границах п. 7.2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точности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AACE Class 3 (±15–20 %) — зафиксировать в договоре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состава БИ с AACE 18R-97)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бюджетных ТКП — зафиксировать протоколом с Заказчиком (граница объёма стоимостной части)</w:t>
      </w:r>
    </w:p>
    <w:p>
      <w:pPr>
        <w:pStyle w:val="Heading2"/>
      </w:pPr>
      <w:r>
        <w:rPr>
          <w:b/>
          <w:sz w:val="26"/>
        </w:rPr>
        <w:t xml:space="preserve">Закладные решения для последующей цифровизации</w:t>
      </w:r>
    </w:p>
    <w:p>
      <w:r>
        <w:rPr>
          <w:sz w:val="20"/>
        </w:rPr>
        <w:t xml:space="preserve">По решению владельца проекта в базовый состав Лота №4 вносятся закладные решения для последующей цифровизации — одобренные позиции «Реестра идей эффективности ред. 2.0» (разд. 1.4 пп. 25–26; разд. 1.6 пп. 35, 38, 39; разд. 2 п. 16). Принцип: в базовый состав закладываются только дешёвые подготовительные позиции — строительные закладные, каналы связи, поля модели данных и требования к опросным листам, — чтобы будущие системы (безлюдные штабелёры, машинное зрение выходного контроля, оптимизационная погрузка вагонов, мониторинг состояния парка оборудования) устанавливались без перепроектирования и остановки склада. Дооснащение после пуска обходится в три-пять раз дороже закладки в проект.</w:t>
      </w:r>
    </w:p>
    <w:p>
      <w:r>
        <w:rPr>
          <w:sz w:val="20"/>
        </w:rPr>
        <w:t xml:space="preserve">СТРОИТЕЛЬНАЯ ЧАСТЬ И ЭНЕРГЕТИКА. Класс ровности пола под автоматическую технику фиксируется в задании на корпус ДО заказа плиты пола (СП 29.13330 плюс требования изготовителя машин; см. раздел «Нагрузки на полы»). Рабочие проезды 3,5–4,0 м проверяются на манёвр машины с пакетом 1×1 м. Зарядная литий-ионных батарей выполняется на 2–3 поста с питанием по I категории надёжности. В зонах машинного зрения и весовых обеспечивается стабильная освещённость без пульсаций; эти зоны выводятся из-под датчиков автоматического управления освещением — перечень зон-исключений включается в задание на электроосвещение. Зона склада полностью покрывается беспроводной сетью IEEE 802.11 с резервом каналов 30 %.</w:t>
      </w:r>
    </w:p>
    <w:p>
      <w:r>
        <w:rPr>
          <w:sz w:val="20"/>
        </w:rPr>
        <w:t xml:space="preserve">ДАННЫЕ И ИНТЕРФЕЙСЫ. В межлотовый протокол Лот №3 ↔ Лот №4 вносится управляемая уставка целевой массы пакета; ограничения схем погрузки по ЦМ-943 оформляются машиночитаемой таблицей; резервируется канал связи до системы железнодорожного цеха. Вагонные весы — класса «высокий», с открытыми программными компонентами; модель данных склада ведёт фактическую массу каждого пакета с признаком класса точности, поле «результат визконтроля» и статус «блокирован до осмотра». Под две контрольные рамки выходного контроля (приёмка и позиция комплектации) предусматриваются закладные, кронштейны, питание и сеть. Сквозной ключ прослеживаемости пакет — адрес склада — партия — вагон печатается в QR-этикетке (этикетирование уже в составе лота); привязка хранится не менее 10 лет. В опросные листы динамического оборудования свыше 30 кВт включается раздел «мониторинг состояния» (значения, не битовые статусы; карта Modbus-регистров — в документации поставщика); данные пусконаладки записываются в полном разрешении (1 с) с единой синхронизацией времени контроллеров.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Класс ровности под автоматическую технику — по СП 29.13330 и требованиям изготовителя машин; в задание на корпус ДО заказа плиты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25; СП 29.13330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Зарядная и проезды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Зарядная литий-ионных батарей на 2–3 поста, питание I категории; проезды 3,5–4,0 м с проверкой на манёвр машины с пакетом 1×1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Беспроводная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Сплошное покрытие зоны склада сетью IEEE 802.11 с резервом каналов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25; Прил. №5 (запас каналов ≥30 %)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Уставка массы пакета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Управляемая уставка целевой массы пакета — в межлотовом протоколе Лот №3 ↔ Лот №4; машиночитаемая таблица ограничений схем погрузки по ЦМ-943; резерв канала связи до системы ж/д цеха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Фактические массы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Вагонные весы класса «высокий» с открытыми программными компонентами; фактическая масса каждого пакета с признаком класса точности — в модели данных склада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Рамки выходного контроля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Закладные, кронштейны, питание и сеть под две контрольные рамки (приёмка и позиция комплектации); поле «результат визконтроля» и статус «блокирован до осмотра» — в модели данных склада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Освещение зон зрения и весовых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Стабильная освещённость без пульсаций в зонах машинного зрения и весовых; перечень зон-исключений из-под датчиков управления освещением — в задание на электроосвещение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16; СП 52.13330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 прослеживаемости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Сквозной ключ пакет — адрес склада — партия — вагон; QR-этикетка с ключом (этикетки уже в составе лота); хранение привязки не менее 10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Мониторинг состояния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Раздел «мониторинг состояния» в опросных листах динамического оборудования свыше 30 кВт: выдача значений, а не битовых статусов; карта Modbus-регистров — в документации поставщика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Данные пускового периода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Запись ввода-вывода пусконаладки в полном разрешении (1 с) без прореживания; единая синхронизация времени контроллеров; хранение не менее 5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29.13330.2011 — Полы — класс ровности под автоматическую технику (совместно с требованиями изготовителя машин); СП 52.13330.2016 — Освещение — стабильная освещённость без пульсаций в зонах машинного зрения и весовых; IEEE 802.11 (по Прил. №5) — Беспроводная сеть зоны склада — сплошное покрытие, резерв каналов 30 %; ТУ размещения и крепления грузов (ЦМ-943) — Ограничения схем погрузки — оформление машиночитаемой таблицей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Финальный класс ровности пола — по ТКП выбранной машины; внести в задание на полы до заказа плиты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машиночитаемой таблицы ограничений по ЦМ-943 и протокол канала связи с системой ж/д цеха — согласовать на этапе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зон-исключений из-под датчиков освещения — по компоновке контрольных рамок и весовых зон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lot4 pz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