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25.08.2026.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8, существенных 39, формальных 54;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(8)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п.1.3 объявляет новое строительство на свободной территории, а таблица объектов и Прил.№6/№7 — существующие здания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 … Отделение электроэкстракции меди ¦ Требуется (Лот №3) … Приложение № 6 – Существующее здание Цеха электролиза меди (ЦЭМ).»</w:t>
            </w:r>
          </w:p>
          <w:p>
            <w:r>
              <w:rPr>
                <w:color w:val="666666"/>
                <w:sz w:val="18"/>
              </w:rPr>
              <w:t xml:space="preserve">ТЗ на БИ v4.1, таблица «Перечень основных объектов технологии ОВЭ» + «Перечень приложений»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Базис размещения в самой v4.1 двоится: если все объекты комплекса строятся заново на свободной территории (п.1.3) — лоты 2–4 не могут сидеть в «существующих зданиях», а обмерные Прил.№6/№7 не применяются; если гидрометаллургия остаётся в существующих зданиях — п.1.3 неверен. От ответа зависят состав БИ (посадка, нагрузки), CAPEX (±7–10 млрд ₽) и сроки. Сам «вариант размещения, принятый Заказчиком» в составе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базис по каждому лоту (Лот 1 — новое строительство; Лоты 2, 3, 4 — новое строительство или существующие здания?) и передать «вариант размещения, принятый Заказчиком» (генплан свободной территории)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п.2 v4.1 добавил «способ транспортировки определяется при разработке ОТР», но в составе Лота 1 осталось «в автоцементовозы» (новое противоречие — C-95); конфликт 70 °С против допуска 65 °С не снят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способ транспортировки огарка и пыли «определяется при разработке ОТР», но состав Лота 1 фиксирует автоцементовозы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«холодильник огарка и «грубой» пыли с комплектом оборудования для приема и отгрузки материала на гидрометаллургическую переработку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состав оборудования Лота №1 (то же — для «тонкой» пыли; в описании технологии — «Отгрузка … предусматривается в автоцементовозы»)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сама вводит «способ транспортировки определяется при ОТР», но оставляет автоцементовозы в четырёх местах. Для БИ Лота 1 это выбор комплекта под бункерами (погрузка в цементовоз против конвейера/пневмотранспорта) и температурное ограничение: цементовоз допускает ≤65 °С при выгрузке из холодильников 70 °С (C-54).</w:t>
      </w:r>
    </w:p>
    <w:p>
      <w:r>
        <w:rPr>
          <w:b/>
        </w:rPr>
        <w:t xml:space="preserve">Вопрос Заказчику: </w:t>
      </w:r>
      <w:r>
        <w:t xml:space="preserve">Убрать автоцементовозы из состава Лота №1 (оставить «комплект оборудования приёма и отгрузки, способ транспортировки — по ОТР») либо подтвердить автоцементовозы как принятое решение — тогда зафиксировать температуру выгрузки ≤65 °С.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(54)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Частично закрыт ТЗ v4.1 от 25.08.2026, п.1.3: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Заказчиком». Однако таблица объектов v4.1 по-прежнему относит гидрометаллургический цех (Лоты 2–3) к существующим зданиям, а Прил.№6/№7 остались в перечне приложений — противоречие внесено в реестр (C-94).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подтвердить срок Этапа 2 и дату полного выпуска; действует ли этапность по каждому лоту отдельно (четыре отчёта) или единым отчётом; в какой этап входят стоимостной блок (бюджетные ТКП и бюджетная оценка стоимости), выбросы для ОВОС, спецификация и эскизные чертежи нетипового оборудования, тепловые балансы и описание автоматизации; внести согласованную этапность в редакцию ТЗ (в v4.1 этапов нет).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