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№2 «Участок купороса»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Опросные листы основного оборудования (альбом)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ОВЭ75-БИ-Л2-ОЛ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300"/>
        <w:gridCol w:w="3336"/>
        <w:gridCol w:w="3000"/>
      </w:tblGrid>
      <w:tr>
        <w:tc>
          <w:tcPr>
            <w:tcW w:w="33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3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D-21.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Назначение альбома</w:t>
      </w:r>
    </w:p>
    <w:p>
      <w:r>
        <w:rPr>
          <w:sz w:val="20"/>
        </w:rPr>
        <w:t xml:space="preserve">Альбом содержит опросные листы основного технологического оборудования Лота №2 «Участок купороса» и выпускается в составе Базового инжиниринга по пункту состава D-21 технического задания (комплект опросных листов на основное технологическое оборудование). Опросные листы предназначены для запроса технико-коммерческих предложений (ТКП) изготовителей и поставщиков оборудования и служат исходным документом для бюджетной оценки стоимости комплектной поставки лота.</w:t>
      </w:r>
    </w:p>
    <w:p>
      <w:r>
        <w:rPr>
          <w:sz w:val="20"/>
        </w:rPr>
        <w:t xml:space="preserve">Каждый опросный лист содержит: перечень позиций перечня оборудования, закрываемых листом; таблицу технических характеристик с указанием источника каждого значения — исходные данные Заказчика (ИД ч.1/ч.2), техническое задание на БИ (ред. 4.1) и решения Базового инжиниринга; строки закладных решений для последующей цифровизации (признак «Закладная (цифровизация)»); состав ответа поставщика.</w:t>
      </w:r>
    </w:p>
    <w:p>
      <w:r>
        <w:rPr>
          <w:sz w:val="20"/>
        </w:rPr>
        <w:t xml:space="preserve">Значения в графе «Значение» являются исходными требованиями к оборудованию. Поля, выделенные цветом, с записью «уточняется по ТКП» заполняет изготовитель. Значения с пометкой «оценка» или «ориентир» предварительные и подлежат подтверждению изготовителем в составе ТКП.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6154"/>
      </w:tblGrid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Лот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Лот №2 «Участок купороса»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Пункт состава БИ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D-21 — опросные листы основного оборудования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Опросных листов в альбоме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2 (ОЛ-ОВЭ75-08, 09)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Нумерация листов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Сквозная по комплексу ОВЭ-75; номер листа сохраняется во всех документах БИ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ТЗ на БИ ред. 4.1 от 25.08.2026 с приложениями; исходные данные Заказчика (части 1 и 2); решения Базового инжиниринга по лоту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Требования лота к опросным листам</w:t>
      </w:r>
    </w:p>
    <w:p>
      <w:r>
        <w:rPr>
          <w:sz w:val="20"/>
        </w:rPr>
        <w:t xml:space="preserve">Требования, общие для всех листов альбома; в скобках — источник требования.</w:t>
      </w:r>
    </w:p>
    <w:p>
      <w:r>
        <w:rPr>
          <w:sz w:val="20"/>
        </w:rPr>
        <w:t xml:space="preserve">— Материальное исполнение поверхностей, контактирующих с растворами купоросов, — сталь 904L (UNS N08904) или согласованный аналог равной стойкости (тип 06ХН28МДТ). В ответе указываются нормативные документы поставки, входной контроль химического состава, стойкость сварных соединений к межкристаллитной коррозии по ГОСТ 6032, присадочные материалы с содержанием Mo и Cu не ниже основного металла, карта швов и объём неразрушающего контроля. Замена материала без согласования — основание для отклонения ТКП.</w:t>
      </w:r>
      <w:r>
        <w:rPr>
          <w:color w:val="666666"/>
          <w:sz w:val="17"/>
        </w:rPr>
        <w:t xml:space="preserve"> (решение БИ (обоснование материального исполнения); ИД ч.2)</w:t>
      </w:r>
    </w:p>
    <w:p>
      <w:r>
        <w:rPr>
          <w:sz w:val="20"/>
        </w:rPr>
        <w:t xml:space="preserve">— В листах указываются среды и составы растворов (в том числе хлорид-ион 20–35 г/м³), режимы вакуума, требования к сварке и контролю.</w:t>
      </w:r>
      <w:r>
        <w:rPr>
          <w:color w:val="666666"/>
          <w:sz w:val="17"/>
        </w:rPr>
        <w:t xml:space="preserve"> (ИД ч.2 разд. 4.1; решение БИ)</w:t>
      </w:r>
    </w:p>
    <w:p>
      <w:r>
        <w:rPr>
          <w:sz w:val="20"/>
        </w:rPr>
        <w:t xml:space="preserve">— Технологические гарантии в составе ТКП: производительность по купоросам 1,70 и 0,80 т/ч, остаточная влажность кристаллогидрата 4–6 %, содержание никеля в медном купоросе не более 0,29 %, удельные расходы пара, стойкость материала.</w:t>
      </w:r>
      <w:r>
        <w:rPr>
          <w:color w:val="666666"/>
          <w:sz w:val="17"/>
        </w:rPr>
        <w:t xml:space="preserve"> (ИД ч.2; решение БИ (порядок формирования стоимости поставки))</w:t>
      </w:r>
    </w:p>
    <w:p>
      <w:pPr>
        <w:pStyle w:val="Heading1"/>
      </w:pPr>
      <w:r>
        <w:rPr>
          <w:b/>
          <w:sz w:val="28"/>
        </w:rPr>
        <w:t xml:space="preserve">Порядок заполнения изготовителем</w:t>
      </w:r>
    </w:p>
    <w:p>
      <w:r>
        <w:rPr>
          <w:b/>
          <w:sz w:val="20"/>
        </w:rPr>
        <w:t xml:space="preserve">1. </w:t>
      </w:r>
      <w:r>
        <w:rPr>
          <w:sz w:val="20"/>
        </w:rPr>
        <w:t xml:space="preserve">Проверить исходные требования в графе «Значение» и подтвердить их выполнение. Отступления от требований приводятся явно — в графе «Значение» соответствующей строки либо отдельным перечнем отклонений с обоснованием; ответ без указания отклонений считается подтверждением требований.</w:t>
      </w:r>
    </w:p>
    <w:p>
      <w:r>
        <w:rPr>
          <w:b/>
          <w:sz w:val="20"/>
        </w:rPr>
        <w:t xml:space="preserve">2. </w:t>
      </w:r>
      <w:r>
        <w:rPr>
          <w:sz w:val="20"/>
        </w:rPr>
        <w:t xml:space="preserve">Заполнить поля, выделенные цветом («уточняется по ТКП»), фактическими данными предлагаемого оборудования: тип и типоразмер, характеристики, материалы, массы, габариты, комплектность, сроки.</w:t>
      </w:r>
    </w:p>
    <w:p>
      <w:r>
        <w:rPr>
          <w:b/>
          <w:sz w:val="20"/>
        </w:rPr>
        <w:t xml:space="preserve">3. </w:t>
      </w:r>
      <w:r>
        <w:rPr>
          <w:sz w:val="20"/>
        </w:rPr>
        <w:t xml:space="preserve">По строкам с признаком «Закладная (цифровизация)» подтвердить включение в объём поставки либо указать отступления; закладные решения не изменяют принятую технологию и гарантии по производительности.</w:t>
      </w:r>
    </w:p>
    <w:p>
      <w:r>
        <w:rPr>
          <w:b/>
          <w:sz w:val="20"/>
        </w:rPr>
        <w:t xml:space="preserve">4. </w:t>
      </w:r>
      <w:r>
        <w:rPr>
          <w:sz w:val="20"/>
        </w:rPr>
        <w:t xml:space="preserve">Приложить документы, перечисленные в разделе «Состав ответа поставщика» каждого листа: ТКП с ценой, сроком изготовления и условиями поставки; чертёж общего вида и массогабаритные характеристики; членение на поставочные блоки; подтверждение материального исполнения; объём шеф-монтажа, пусконаладки и ЗИП; референс-лист аналогичных поставок.</w:t>
      </w:r>
    </w:p>
    <w:p>
      <w:r>
        <w:rPr>
          <w:b/>
          <w:sz w:val="20"/>
        </w:rPr>
        <w:t xml:space="preserve">5. </w:t>
      </w:r>
      <w:r>
        <w:rPr>
          <w:sz w:val="20"/>
        </w:rPr>
        <w:t xml:space="preserve">Единицы измерения — СИ. Нумерация, наименования и порядок строк листа изменению не подлежат; дополнительные данные приводятся отдельными строками в конце таблицы характеристик.</w:t>
      </w:r>
    </w:p>
    <w:p>
      <w:r>
        <w:rPr>
          <w:b/>
          <w:sz w:val="20"/>
        </w:rPr>
        <w:t xml:space="preserve">6. </w:t>
      </w:r>
      <w:r>
        <w:rPr>
          <w:sz w:val="20"/>
        </w:rPr>
        <w:t xml:space="preserve">Заполненный лист возвращается вместе с ТКП; лист с незаполненными выделенными полями считается неполным ответом.</w:t>
      </w:r>
    </w:p>
    <w:p>
      <w:pPr>
        <w:pStyle w:val="Heading1"/>
      </w:pPr>
      <w:r>
        <w:rPr>
          <w:b/>
          <w:sz w:val="28"/>
        </w:rPr>
        <w:t xml:space="preserve">Состав альбома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00"/>
        <w:gridCol w:w="3100"/>
        <w:gridCol w:w="1900"/>
        <w:gridCol w:w="1554"/>
        <w:gridCol w:w="1300"/>
      </w:tblGrid>
      <w:tr>
        <w:tc>
          <w:tcPr>
            <w:tcW w:w="1500" w:type="dxa"/>
            <w:shd w:val="clear" w:fill="EFEFEF"/>
          </w:tcPr>
          <w:p>
            <w:r>
              <w:rPr>
                <w:b/>
                <w:sz w:val="18"/>
              </w:rPr>
              <w:t xml:space="preserve">№ ОЛ</w:t>
            </w:r>
          </w:p>
        </w:tc>
        <w:tc>
          <w:tcPr>
            <w:tcW w:w="3100" w:type="dxa"/>
            <w:shd w:val="clear" w:fill="EFEFEF"/>
          </w:tcPr>
          <w:p>
            <w:r>
              <w:rPr>
                <w:b/>
                <w:sz w:val="18"/>
              </w:rPr>
              <w:t xml:space="preserve">Оборудование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Участок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8"/>
              </w:rPr>
              <w:t xml:space="preserve">Кол-во по перечню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8"/>
              </w:rPr>
              <w:t xml:space="preserve">Позиции перечня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ОЛ-ОВЭ75-08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Выпарной аппарат (испаритель)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Кристаллизация медного купороса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1 (1 нитка); 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4.1.1, 4.1.2, 4.1.23, 4.1.24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ОЛ-ОВЭ75-09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Центрифуга фильтрующая (пульсирующая)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Кристаллизация медного купороса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4 (2 + 2)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4.1.6, 4.1.28</w:t>
            </w:r>
          </w:p>
        </w:tc>
      </w:tr>
    </w:tbl>
    <w:p>
      <w:r>
        <w:rPr>
          <w:i/>
          <w:color w:val="555555"/>
          <w:sz w:val="18"/>
        </w:rPr>
        <w:t xml:space="preserve">Количество и позиции — по перечню основного оборудования лота (ИД ч.1 табл. 24, ИД ч.2 табл. 4.1 и 4.2, ТЗ на БИ ред. 4.1); «—» — позиция без номера в исходных данных.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ОЛ-ОВЭ75-08. Выпарной аппарат (испаритель)</w:t>
      </w:r>
    </w:p>
    <w:p>
      <w:r>
        <w:rPr>
          <w:i/>
          <w:color w:val="555555"/>
          <w:sz w:val="18"/>
        </w:rPr>
        <w:t xml:space="preserve">Лот №2 «Участок купороса», участок «Кристаллизация медного купороса»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4.1.1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Испаритель I ступени (выпарной аппарат) · УУСС: испаритель EV-2 с выносным нагревателем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 (1 нитка)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4.1.2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Испаритель II ступени (выпарной аппарат) · УУСС: испаритель EV-2 с принудительной циркуляцией, под доп. разрежением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4.1.23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Испаритель I ступени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4.1.24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Испаритель II ступени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345 дней/год, 8322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Состав и 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4 шт.: 2 × (D 2,0 м; 34,5 м³) и 2 × (D 1,3 м; 8,9 м³); напряжённость парового пространства 22 800/22 000 м³/(м²·ч), потоки пара 49 417 / 23 032 / 17 647 / 5530 м³/ч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рис. 4.4/4.5; табл. 4.1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Вакуумная кристаллизация медного (нитка 1) и смешанного медно-никелевого (нитка 2) купоросов, I/II ступени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разд. 4.1; поз. 4.1.1–4.1.24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904L или аналог — все аппараты и трубопроводы растворного тракта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разд. 4.2.1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Требование к материалу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Основное оборудование выпарки/кристаллизации — 904L или аналог; 316L исключена для горячих концентрированных растворов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разд. 4.2.1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Температуры ступеней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 ступень 40 °C, II ступень 20 °C (обе нитки)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разд. 4.1.4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Давления (разрежения)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 ступень 0,06–0,08 атм; II ступень 0,013–0,02 атм; конденсаторы 0,075 атм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3.1, 4.1, рис. 4.4/4.5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Греющий пар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нитка 1 — 2,1 т/ч; нитка 2 — 0,85–0,95 т/ч (глухой, 0,6 МПа)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3.1; п. 1.3.13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Коэффициент теплопередачи (требуемый)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≈160–175 Вт/(м²·К) при полном ΔT (119 К) — запас поверхности ×5–7 на инкрустацию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Крупность кристаллов / влажность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не более 2,0 мм; влажность после центрифуг 4–6 %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Нагрузка от заполненного аппарата (нитка 1)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≈550–650 кН/аппарат (45 т содержимого + корпус)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БИ по V=34,5 м³, ρ=1,3 т/м³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Нагрузка от заполненного аппарата (нитка 2)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≈160–200 кН/аппарат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БИ по V=8,9 м³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Монтажная единица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испаритель нитки 1 целиком: 8–15 т (без содержимого; по ОЛ уточняется)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оценка БИ (см. «Компоновка»)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Контроль материала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ПМИ химсостава, МКК по ГОСТ 6032, НК швов; ферроксил-контроль свободного железа после монтажа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разд. 4.2.1; практика CRA (ASTM A380/A967 — справочно)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Пробное давление паровых полостей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≥1,25 × 0,6 МПа с поправкой на отношение допускаемых напряжений при 20 °C и при расчётной температуре (по расчёту на прочность)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ГОСТ 34233.1-2017; ФНП № 536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Циркуляционные насосы, сепараторы, КИП в комплекте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состав комплектной поставки — по ТКП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байпасы под плотномеры маточника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Байпасные петли осветлённого маточника с отсечной арматурой на обеих нитках и обеих ступенях (4 компл.); смачиваемые части 904L; замена прибора без останова нитки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1.3 п. 21; Прил. №5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контроль зарастания подогревателей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Пары термосопротивлений (класс допуска А) до и после каждого подогревателя; индивидуальный расходомер греющего пара на каждый подогреватель; гильзы кислотостойкие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1.3 п. 22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петли гранулометрии и смотровые штуцеры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Фланцевые байпасные петли с отсечной арматурой (проток 0,5–2 м³/ч) на контурах циркуляции обеих ступеней обеих ниток под проточную ячейку; смотровые штуцеры со стёклами; питание 230 В и сетевые порты на этажерке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регулируемая отсечка и арматура пара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Диапазон отсечки на выпарку — регулируемый (не фиксированное значение); регулирующие клапаны греющего пара с позиционерами вместо отсечных; резервные гильзы температур по высоте аппарата; байпасные пробоотборные линии Ду25 с площадками под будущий поточный анализатор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пп. 7, 10</w:t>
            </w:r>
          </w:p>
        </w:tc>
      </w:tr>
    </w:tbl>
    <w:p>
      <w:r>
        <w:rPr>
          <w:i/>
          <w:color w:val="555555"/>
          <w:sz w:val="18"/>
        </w:rPr>
        <w:t xml:space="preserve">Поля, выделенные цветом («уточняется по ТКП»), заполняет изготовитель; остальные значения — исходные требования Заказчика (ИД ч.1/ч.2, ТЗ на БИ)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(поля, выделенные цветом)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ОЛ-ОВЭ75-09. Центрифуга фильтрующая (пульсирующая)</w:t>
      </w:r>
    </w:p>
    <w:p>
      <w:r>
        <w:rPr>
          <w:i/>
          <w:color w:val="555555"/>
          <w:sz w:val="18"/>
        </w:rPr>
        <w:t xml:space="preserve">Лот №2 «Участок купороса», участок «Кристаллизация медного купороса»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4.1.6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Пульсирующая (фильтрующая) центрифуга · Фильтрующая центрифуга с пульсирующей выгрузкой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4.1.28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Пульсирующая (фильтрующая) центрифуга · Фильтрующая центрифуга с пульсирующей выгрузкой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345 дней/год, 8322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Тип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Фильтрующая центрифуга с пульсирующей выгрузкой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 / производительность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× 2,5 т/ч + 2 × 1,5 т/ч, пульсирующие, 1800 об/мин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4.1, рис. 4.4/4.5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 (I стадия)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Обезвоживание кристаллов медного купороса, I стадия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 (II стадия)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Обезвоживание и промывка кристаллов смешанного купороса, II стадия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4.1.28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Сталь 904L или аналог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Влажность и крупность осадка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не более 2,0 мм; влажность после центрифуг 4–6 %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Промывка (смешанный купорос)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0,15 м³ исходного фильтрата на 1 т кристаллов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Выпуск медного купороса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14 139 т/год ≈ 1,70 т/ч (влажность 4–6 % — сверх сухой массы)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БИ; ИД табл. 3.1 (1,6–1,8 т/ч)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Выпуск смешанного купороса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6658 т/год (0,80 т/ч; диапазон 6,24–7,07 тыс. т/год)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3.1; расчёт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Привод, масса, вибронагрузки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 (задание на фундаменты)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Электроисполнение и локальная аспирация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мониторинг состояния привода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Для привода свыше 30 кВт — раздел «мониторинг состояния»: вибрация, температура подшипников, ток привода как значения (не биты), обмен Modbus TCP; карта Modbus-регистров — в составе документации поставщика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пп. 7, 14; разд. 1.3 п. 23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пробоотбор кека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Штуцер отбора проб осадка на выгрузке с площадкой обслуживания — под будущий поточный влагомер; влажность и масса кека — в опросный лист весоизмерения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10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сигналы в секундный архив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Все технологические параметры машины — в перечень сигналов АСУ (резерв каналов ≥30 %); архив хранилища технологических данных с шагом 1 с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1.3 п. 21; разд. 2 п. 7</w:t>
            </w:r>
          </w:p>
        </w:tc>
      </w:tr>
    </w:tbl>
    <w:p>
      <w:r>
        <w:rPr>
          <w:i/>
          <w:color w:val="555555"/>
          <w:sz w:val="18"/>
        </w:rPr>
        <w:t xml:space="preserve">Поля, выделенные цветом («уточняется по ТКП»), заполняет изготовитель; остальные значения — исходные требования Заказчика (ИД ч.1/ч.2, ТЗ на БИ)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(поля, выделенные цветом)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Позиции, значения которых определяются по технико-коммерческим предложениям изготовителей либо на последующих этапах стадии БИ.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ОЛ-ОВЭ75-08 (Выпарной аппарат (испаритель)) — Циркуляционные насосы, сепараторы, КИП в комплекте: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ОЛ-ОВЭ75-09 (Центрифуга фильтрующая (пульсирующая)) — Привод, масса, вибронагрузки; Электроисполнение и локальная аспирация: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Комплект опросных листов Лота №2 по базе решений: выпарные аппараты с подогревателями, эжекторы и пароэжекторные блоки, барометрические конденсаторы, центрифуги, насосы, узел фасовки, водокольцевые вакуум-насосы. В настоящую ревизию включены листы на выпарные аппараты и центрифуги; листы на эжекторы и пароэжекторные блоки, барометрические конденсаторы, насосы, узел фасовки и вакуум-насосы — определяется на стадии БИ (следующая ревизия альбома).</w:t>
      </w:r>
    </w:p>
    <w:p>
      <w:r>
        <w:rPr>
          <w:color w:val="666666"/>
          <w:sz w:val="17"/>
        </w:rPr>
        <w:t xml:space="preserve">Источник: ИД ч.2 разд. 4.1; решение БИ (перечень оборудования Лота №2)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допускаемых аналогов стали 904L фиксируется в листах до запроса ТКП по согласованию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Структура запроса ТКП (комплектный поставщик обеих ниток либо разбивка на пакеты: аппараты 904L, центрифуги, вакуумное хозяйство, фасовка, АСУ) — по решению Заказчика.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изготовителей и поставщиков для рассылки листов, сроки ответа и порядок сравнения ТКП — по реестру запросов бюджетных ТКП (документ ОВЭ75-БИ-ОБ-ТКП).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листов — после согласования с Заказчиком перечня основного оборудования лота и получения замечаний к настоящей ревизии.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ОВЭ75-БИ-Л2-ОЛ · Опросные листы основного оборудования (альбом)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№2 «Участок купороса»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ОВЭ75-БИ-Л2-ОЛ · Опросные листы основного оборудования (альбом)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