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84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145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14570"/>
      </w:tblGrid>
      <w:tr>
        <w:tc>
          <w:tcPr>
            <w:tcW w:w="1457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21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14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182"/>
        <w:jc w:val="center"/>
      </w:pPr>
      <w:r>
        <w:rPr>
          <w:rFonts w:ascii="Arial" w:hAnsi="Arial" w:cs="Arial"/>
          <w:sz w:val="22"/>
          <w:szCs w:val="22"/>
        </w:rPr>
        <w:t xml:space="preserve">Лот №3 «Отделение электроэкстракции»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Спецификация оборудования с техническими характеристиками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14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ОВЭ75-БИ-Л3-СО</w:t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570"/>
      </w:tblGrid>
      <w:tr>
        <w:tc>
          <w:tcPr>
            <w:tcW w:w="14570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105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4953"/>
        <w:gridCol w:w="5099"/>
        <w:gridCol w:w="4518"/>
      </w:tblGrid>
      <w:tr>
        <w:tc>
          <w:tcPr>
            <w:tcW w:w="4953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5099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451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4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00"/>
        <w:gridCol w:w="2000"/>
        <w:gridCol w:w="6970"/>
        <w:gridCol w:w="2100"/>
        <w:gridCol w:w="2100"/>
      </w:tblGrid>
      <w:tr>
        <w:tc>
          <w:tcPr>
            <w:tcW w:w="14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2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697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21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21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D-18.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№3 «Отделение электроэкстракции»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ч.2 (табл. 4.2, п. 4.2.2, приложение В); ТЗ на БИ ред. 4.1 — границы Лота №3 (п. 6.2) и перечни включаемого и не включаемого в БИ оборудования (п. 6.3)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Оборудование получения катодной меди. Размещается в существующем корпусе электрорафинирования меди металлургического цеха (ЦЭМ): шаг колонн 24 000 мм, крановый пролёт 22 000 мм. 180 ванн в две серии по 90 шт., каждая серия в отдельном пролёте, обслуживается своим спецкраном.</w:t>
      </w:r>
    </w:p>
    <w:p>
      <w:r>
        <w:rPr>
          <w:sz w:val="20"/>
        </w:rPr>
        <w:t xml:space="preserve">Участки лота по ТЗ: циркуляция и охлаждение электролита; электролизные ванны с аспирационными укрытиями; роботизированная катодосдирочная машина (КСМ); формирование пакетов катодов; ошиновка и токоподвод; спецкраны с системой позиционирования.</w:t>
      </w:r>
    </w:p>
    <w:p>
      <w:r>
        <w:rPr>
          <w:sz w:val="20"/>
        </w:rPr>
        <w:t xml:space="preserve">Режим работы: 358 дней/год, 8585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По ТЗ в состав Базового инжиниринга Лота №3 не включаются: шины магистральные; выпрямители для ванн электроэкстракции; напорный трубопровод для ванн; сливной трубопровод для ванн; система аспирации от ванн и очистки аспирационных газов; циркуляционные насосы; грузоподъёмное оборудование; нутч-фильтр; оборудование для обработки свинцового шлама и отработанных свинцовых анодов; теплообменники.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ОВЭ75-БИ-Л3-ПЗ — Пояснительная записка</w:t>
      </w:r>
    </w:p>
    <w:p>
      <w:r>
        <w:rPr>
          <w:sz w:val="20"/>
        </w:rPr>
        <w:t xml:space="preserve">— ОВЭ75-БИ-Л3-PFD — Принципиальная технологическая схема (PFD)</w:t>
      </w:r>
    </w:p>
    <w:p>
      <w:r>
        <w:rPr>
          <w:sz w:val="20"/>
        </w:rPr>
        <w:t xml:space="preserve">— ОВЭ75-БИ-Л3-ОЛ — Опросные листы основного оборудования (альбом)</w:t>
      </w:r>
    </w:p>
    <w:p>
      <w:r>
        <w:rPr>
          <w:sz w:val="20"/>
        </w:rPr>
        <w:t xml:space="preserve">— ОВЭ75-БИ-Л3-ДЦ — Исходные требования на длинноцикловое оборудование</w:t>
      </w:r>
    </w:p>
    <w:p>
      <w:r>
        <w:rPr>
          <w:sz w:val="20"/>
        </w:rPr>
        <w:t xml:space="preserve">— ОВЭ75-БИ-Л3-МТ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ОВЭ75-БИ-Л3-ЭС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ОВЭ75-БИ-Л3-LL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ОВЭ75-БИ-Л3-СТ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Нестандартизированное изделие; изготавливается заводом-изготовителем по техническим требованиям и эскизным чертежам Исполнителя (задание на изготовление).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Закупка нового оборудования либо модернизация существующего оборудования Заказчика; выбор — по результатам обследования и ТКП.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Вне БИ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Позиция в объём Базового инжиниринга по лоту не входит; приводится справочно для увязки границ; в составе БИ по ней выдаётся задание на стыке смежному проектировщику или поставщику.</w:t>
            </w:r>
          </w:p>
        </w:tc>
      </w:tr>
    </w:tbl>
    <w:p>
      <w:r>
        <w:rPr>
          <w:sz w:val="20"/>
        </w:rPr>
        <w:t xml:space="preserve">По документации Исполнителя (технические требования, эскизные чертежи) изготавливаются: циркуляционный бак (бак питания ванн). Комплектно по ТКП изготовителей поставляются 11 позиций из 14. Справочно (вне объёма БИ по лоту) в таблицу включены: выпрямители.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№3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Циркуляция электролита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Циркуляционный бак (бак питания ванн)</w:t>
            </w:r>
          </w:p>
          <w:p>
            <w:r>
              <w:rPr>
                <w:color w:val="333333"/>
                <w:sz w:val="15"/>
              </w:rPr>
              <w:t xml:space="preserve">Бак с перегородкой</w:t>
            </w:r>
          </w:p>
          <w:p>
            <w:r>
              <w:rPr>
                <w:color w:val="555555"/>
                <w:sz w:val="14"/>
              </w:rPr>
              <w:t xml:space="preserve">Поз. по ИД: 4.2.1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0,25 ч; поток 1634,5 м³/ч; расч. 408,6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числу серий)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300,0 м³ на нитку; факт. 510,0 м³; коэфф. запаса 1,2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Холодильник электролита пластинчатый</w:t>
            </w:r>
          </w:p>
          <w:p>
            <w:r>
              <w:rPr>
                <w:color w:val="333333"/>
                <w:sz w:val="15"/>
              </w:rPr>
              <w:t xml:space="preserve">Пластинчатый теплообменник, охлаждение водой</w:t>
            </w:r>
          </w:p>
          <w:p>
            <w:r>
              <w:rPr>
                <w:color w:val="555555"/>
                <w:sz w:val="14"/>
              </w:rPr>
              <w:t xml:space="preserve">Поз. по ИД: 4.2.2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богатого раствора перед подачей в ванны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i/>
                <w:color w:val="555555"/>
                <w:sz w:val="14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числу серий)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W = 2500 кВт на нитку; факт. 5000 кВт;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Электролиз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Электролизная ванна</w:t>
            </w:r>
          </w:p>
          <w:p>
            <w:r>
              <w:rPr>
                <w:color w:val="333333"/>
                <w:sz w:val="15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  <w:p>
            <w:r>
              <w:rPr>
                <w:color w:val="555555"/>
                <w:sz w:val="14"/>
              </w:rPr>
              <w:t xml:space="preserve">Поз. по ИД: 4.2.3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Электроэкстракция меди из растворов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i/>
                <w:color w:val="555555"/>
                <w:sz w:val="14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(2 серии × 90); расчётно 163 шт., коэфф. запаса 1,104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Полимербетон (монолитный винилэфирный композит)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Внутренние габариты 8485 × 1155 × 1650 мм (Д×Ш×В); 84 катода, 85 анодов</w:t>
            </w:r>
          </w:p>
          <w:p>
            <w:r>
              <w:rPr>
                <w:color w:val="333333"/>
                <w:sz w:val="15"/>
              </w:rPr>
              <w:t xml:space="preserve">Масса ванны 8,7 т (180 шт. — 1566 т); закорачивающая рама 8,7 т, подъёмная рама в сборе с закорачивающей 10,0 т; в комплекте: коллектор подачи с креплениями, закладные рельсов нутча, донная пробка, конусы позиционирования крана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 масс поставки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Аноды из свинцового сплава</w:t>
            </w:r>
          </w:p>
          <w:p>
            <w:r>
              <w:rPr>
                <w:color w:val="333333"/>
                <w:sz w:val="15"/>
              </w:rPr>
              <w:t xml:space="preserve">Pb-Ca / Pb-Ag сплавы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Аноды ванн электроэкстракции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85 анодов на ванну; расход 2300 шт./год (0,033 шт. на т Cu)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× 85 = 15 300 шт. первичная загрузка (расчётно)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Свинцовый сплав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940 × 952 × 6 мм, холоднокатаные, сплав Pb–Ca (0,06–0,08 %)–Sn (1,35–1,5 %); ≈65 кг/шт., первичная загрузка ≈995 т</w:t>
            </w:r>
          </w:p>
          <w:p>
            <w:r>
              <w:rPr>
                <w:color w:val="666666"/>
                <w:sz w:val="13"/>
              </w:rPr>
              <w:t xml:space="preserve">Источник: ИД ч.2 табл. 8.5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Катодные матрицы (постоянные катоды)</w:t>
            </w:r>
          </w:p>
          <w:p>
            <w:r>
              <w:rPr>
                <w:color w:val="333333"/>
                <w:sz w:val="15"/>
              </w:rPr>
              <w:t xml:space="preserve">Система SPLIT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Матрицы для наращивания катодной меди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× 84 = 15 120 шт. первичная загрузка (расчётно)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1000 × 1000 × 3,25 мм, сталь 316L, с полипропиленовым обрамлением; 50–55 кг/шт., первичная загрузка 756–832 т</w:t>
            </w:r>
          </w:p>
          <w:p>
            <w:r>
              <w:rPr>
                <w:color w:val="666666"/>
                <w:sz w:val="13"/>
              </w:rPr>
              <w:t xml:space="preserve">Источник: ИД ч.2 табл. 8.5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Аспирационные укрытия ванн</w:t>
            </w:r>
          </w:p>
          <w:p>
            <w:r>
              <w:rPr>
                <w:color w:val="333333"/>
                <w:sz w:val="15"/>
              </w:rPr>
              <w:t xml:space="preserve">Бортовой отсос + легкосъёмный колпак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комплектов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Коррозионностойкое исполнение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Ошиновка ванн</w:t>
            </w:r>
          </w:p>
          <w:p>
            <w:r>
              <w:rPr>
                <w:color w:val="333333"/>
                <w:sz w:val="15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Ток серии 47,0 кА; падение напряжения в межванновой ошиновке ≤ 0,06 В/ванну; концевые шинные мосты серий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4.2; расчёт БИ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 на 180 ванн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Медь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Обработка катодов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333333"/>
                <w:sz w:val="15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color w:val="333333"/>
                <w:sz w:val="15"/>
              </w:rPr>
              <w:t xml:space="preserve">Катодный шаг 95 мм (референсное значение 100 мм приводится к фактическому)</w:t>
            </w:r>
          </w:p>
          <w:p>
            <w:r>
              <w:rPr>
                <w:color w:val="666666"/>
                <w:sz w:val="13"/>
              </w:rPr>
              <w:t xml:space="preserve">Источник: ИД ч.2 прил. В</w:t>
            </w:r>
          </w:p>
          <w:p>
            <w:r>
              <w:rPr>
                <w:i/>
                <w:color w:val="555555"/>
                <w:sz w:val="14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Установленная мощность 125 кВт, потребляемая 105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формирования пакетов катодов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Пакеты 1400–2000 кг (сбыт требует 2500 ± 50 кг)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Нанесение изоляции кромок катодных матриц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Полипропиленовый профиль — расход 2770 кг/год</w:t>
            </w:r>
          </w:p>
          <w:p>
            <w:r>
              <w:rPr>
                <w:color w:val="333333"/>
                <w:sz w:val="15"/>
              </w:rPr>
              <w:t xml:space="preserve">Полипропиленовый профиль 1170 × 22,5 × 10 мм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Подъёмно-транспортное оборудование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i/>
                <w:color w:val="555555"/>
                <w:sz w:val="14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одному на серию/пролёт)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Грузоподъёмность ориентировочно 16–20 т (полный комплект 84 матриц с осадком 11,6 т + траверса с поддоном 3–5 т); режим работы не легче А6/М7</w:t>
            </w:r>
          </w:p>
          <w:p>
            <w:r>
              <w:rPr>
                <w:color w:val="666666"/>
                <w:sz w:val="13"/>
              </w:rPr>
              <w:t xml:space="preserve">Источник: расчёт БИ по ИД ч.2 п. 4.2.2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 / модерни­зация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Передача пакетов в помещение склада готовой продукции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Реагентное хозяйство (позиции вне табл. 4.2 ИД ч.2)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обеспечивает работу от каждой ≥12 ч; тихоходные рамные мешалки</w:t>
            </w:r>
          </w:p>
          <w:p>
            <w:r>
              <w:rPr>
                <w:color w:val="333333"/>
                <w:sz w:val="15"/>
              </w:rPr>
              <w:t xml:space="preserve">В составе реагентного хозяйства также: узел добавки FC-1100 (исполнение под аналоги), узлы дозирования H₂SO₄ ≈0,33 т/ч и HCl 33 % до 0,55 кг/ч</w:t>
            </w:r>
          </w:p>
          <w:p>
            <w:r>
              <w:rPr>
                <w:color w:val="666666"/>
                <w:sz w:val="13"/>
              </w:rPr>
              <w:t xml:space="preserve">Источник: ИД ч.2 п. 1.3.13–1.3.14, прил. Б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(поочерёдно работающие)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2.6 Питание постоянным током (вне объёма БИ по Лоту №3)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Выпрямители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Питание серий ванн постоянным током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250 В (max) / 227 В (ном); I = 47,0 кА; коэфф. запаса 1,10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Вне БИ по Лоту №3 (перечень «не включа­ется»)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14 (участков — 6)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8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11; Изготовление — 1; Закуп / модернизация — 1; Вне БИ по Лоту №3 (перечень «не включается») — 1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14 из 14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7 из 14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14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≈125 кВт: Роботизированная катодосдирочная машина (КСМ) — 1 × 125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технологического оборудования» и «Спецификация оборудования, опросные листы, исходные требования на оборудование длительного цикла изготовления».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ОВЭ75-БИ-Л3-ОЛ, ОВЭ75-БИ-Л3-ДЦ, ОВЭ75-БИ-Л3-МТ.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Ванны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Электроды (первичная загрузка)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аноды 15 300 шт. (Pb–Ca–Sn); матрицы 15 120 шт. (316L, SPLIT)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КСМ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Спецкраны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Циркуляционные баки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Узлы реагентов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Вне поставки (задание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 п. 6.3 (перечень «не включается»)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Массы поставки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Опросные листы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Привести в листах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шаг 95 мм (не 100), пакет 2500 ± 50 кг (не 1400–2000)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Длинноцикловое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Выдача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«Прочие условия» (поэтапная выдача)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сертификация/декларирование поставляемых позиций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Оборудование производственное. Общие требования безопасности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Исполнение УХЛ3 для оборудования электролизного зала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15846-2002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Упаковка и транспортирование в районы Крайнего Севера (≈3,4 тыс. т поставки)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5582-75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Нержавеющий прокат (отечественный аналог 316L — 03Х17Н14М3) для матриц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Позиции основной таблицы, по которым объём поставки ограничен границей БИ, существующим оборудованием Заказчика или перечнем «не включается» ТЗ: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700"/>
        <w:gridCol w:w="4200"/>
        <w:gridCol w:w="2800"/>
        <w:gridCol w:w="6580"/>
      </w:tblGrid>
      <w:tr>
        <w:trPr>
          <w:tblHeader/>
          <w:cantSplit/>
        </w:trPr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Поз.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6580" w:type="dxa"/>
            <w:shd w:val="clear" w:fill="EFEFEF"/>
          </w:tcPr>
          <w:p>
            <w:r>
              <w:rPr>
                <w:b/>
                <w:sz w:val="17"/>
              </w:rPr>
              <w:t xml:space="preserve">Ограничение объёма поставки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Холодильник электролита пластинчатый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Выпрямители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Вне БИ по Лоту №3 (перечень «не включается»)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Позиция в объём Базового инжиниринга по лоту не входит; приводится справочно для увязки границ; в составе БИ по ней выдаётся задание на стыке смежному проектировщику или поставщику.</w:t>
            </w:r>
          </w:p>
        </w:tc>
      </w:tr>
    </w:tbl>
    <w:p>
      <w:r>
        <w:rPr>
          <w:sz w:val="20"/>
        </w:rPr>
        <w:t xml:space="preserve">Перечень оборудования, не включаемого в БИ по Лоту №3 (ТЗ): шины магистральные; выпрямители для ванн электроэкстракции; напорный трубопровод для ванн; сливной трубопровод для ванн; система аспирации от ванн и очистки аспирационных газов; циркуляционные насосы; грузоподъёмное оборудование; нутч-фильтр; оборудование для обработки свинцового шлама и отработанных свинцовых анодов; теплообменники. По каждой позиции в составе БИ выдаётся задание на стыке с параметрами и физической границей.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«Разграничение поставки и стыковка границ с позициями „вне БИ“».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Выпрямители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Трубопроводы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5.2; ИД прил. В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Теплообменники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3.1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Аспирация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5.2; ИД п. 4.1.2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Насосы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Краны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5.3; ИД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Шлам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4.1.2, прил. В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Намывные фильтры контрольной фильтрации</w:t>
            </w:r>
          </w:p>
          <w:p>
            <w:r>
              <w:rPr>
                <w:color w:val="555555"/>
                <w:sz w:val="14"/>
              </w:rPr>
              <w:t xml:space="preserve">Поз. по ИД: 4.1.20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i/>
                <w:color w:val="555555"/>
                <w:sz w:val="14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(параллельная работа)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S = 120 м²; факт. 360 м²; коэфф. запаса 1,2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Теплообменник подогрева бедного электролита</w:t>
            </w:r>
          </w:p>
          <w:p>
            <w:r>
              <w:rPr>
                <w:color w:val="555555"/>
                <w:sz w:val="14"/>
              </w:rPr>
              <w:t xml:space="preserve">Поз. по ИД: 4.1.17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i/>
                <w:color w:val="555555"/>
                <w:sz w:val="14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W = 1500 кВт; коэфф. запаса 1,2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7 позициям из 14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13 позициям из 14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headerReference w:type="default" r:id="rIdHdr"/>
      <w:footerReference w:type="default" r:id="rIdFtr"/>
      <w:pgSz w:w="16838" w:h="11906" w:orient="landscape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ОВЭ75-БИ-Л3-СО · Спецификация оборудования с техническими характеристиками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№3 «Отделение электроэкстракции»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ОВЭ75-БИ-Л3-СО · Спецификация оборудования с техническими характеристиками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