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Спецификация содержит перечень основного и вспомогательного технологического оборудования Лота №1 «Цех обжига» в границах проектирования Базового инжиниринга с указанием назначения, определяющих технических характеристик, количества, материального исполнения, габаритов, массы, мощности электроприёмников и статуса поставки каждой позиции. Документ выполняет требование состава Базового инжиниринга «Спецификация основного и вспомогательного технологического оборудования с указанием технических характеристик, в том числе габаритных размеров, массы, энергопотребления» (ТЗ на БИ ред. 4.1; пункт состава D-18).</w:t>
      </w:r>
    </w:p>
    <w:p>
      <w:r>
        <w:rPr>
          <w:sz w:val="20"/>
        </w:rPr>
        <w:t xml:space="preserve">Позиции сгруппированы по участкам в порядке технологического процесса; номер позиции — порядковый в пределах лота. Для позиций, имеющих номер по технологической схеме исходных данных, этот номер приведён в графе наименования (поз. по ИД). Форма спецификации — по ГОСТ 21.110-2013 с дополнительными графами по ТЗ (габариты, масса, энергопотребление).</w:t>
      </w:r>
    </w:p>
    <w:p>
      <w:r>
        <w:rPr>
          <w:sz w:val="20"/>
        </w:rPr>
        <w:t xml:space="preserve">Значения граф взяты из исходных данных Заказчика (ИД ч.1, ИД ч.2), Технического задания (ред. 4.1 от 25.08.2026) и расчётной модели КВАНТ. Значения, добавленные из текстовых разделов исходных данных и пояснительной записки, приведены в графах с указанием источника; общее основание перечня — ниже, ключевые позиции и их источники — в разделе 4. Запись «по ТКП» в графах габаритов, массы и мощности означает, что характеристика в исходных данных не задана и уточняется по технико-коммерческому предложению изготовителя; знак «—» — характеристика в исходных данных не задана либо к позиции не применима.</w:t>
      </w:r>
    </w:p>
    <w:p>
      <w:r>
        <w:rPr>
          <w:color w:val="666666"/>
          <w:sz w:val="17"/>
        </w:rPr>
        <w:t xml:space="preserve">Источник: ИД ч.1 (табл. 23, 24 и раздел незавершённого производства); ТЗ на БИ ред. 4.1 — границы проектирования Лота №1 (п. 3.3) и состав оборудования (п. 3.4)</w:t>
      </w:r>
    </w:p>
    <w:p>
      <w:pPr>
        <w:pStyle w:val="Heading2"/>
      </w:pPr>
      <w:r>
        <w:rPr>
          <w:b/>
          <w:sz w:val="24"/>
        </w:rPr>
        <w:t xml:space="preserve">1.2 Границы лота и охват спецификации</w:t>
      </w:r>
    </w:p>
    <w:p>
      <w:r>
        <w:rPr>
          <w:sz w:val="20"/>
        </w:rPr>
        <w:t xml:space="preserve">Все основное и вспомогательное технологическое оборудование, трубопроводы и газоходы в границах проектирования. Одна технологическая линия обжига-газоочистки (одна печь КС, один котёл-утилизатор, один одиночный циклон, один сухой электрофильтр) с запасом производительности ≥15 % для обеспечения ППР без остановки всего комплекса.</w:t>
      </w:r>
    </w:p>
    <w:p>
      <w:r>
        <w:rPr>
          <w:sz w:val="20"/>
        </w:rPr>
        <w:t xml:space="preserve">Участки лота по ТЗ: фильтрация медного концентрата; приемка сырья и шихтовка; обжиг в печи КС; газоочистка (КУ → циклон → электрофильтр → дымососы); аспирация (рукавные фильтры + дымососы на свечу).</w:t>
      </w:r>
    </w:p>
    <w:p>
      <w:r>
        <w:rPr>
          <w:sz w:val="20"/>
        </w:rPr>
        <w:t xml:space="preserve">Режим работы: 330 дней/год, 7920 ч, круглосуточно.</w:t>
      </w:r>
    </w:p>
    <w:p>
      <w:r>
        <w:rPr>
          <w:sz w:val="20"/>
        </w:rPr>
        <w:t xml:space="preserve">Границы проектирования (фланцевые и иные точки передачи потоков) приведены в пояснительной записке и на принципиальной технологической схеме лота; спецификация охватывает оборудование внутри этих границ. Оборудование смежных участков, не входящее в объём Базового инжиниринга, в основную таблицу не включено и приведено справочно в разделе 5 — для увязки границ и выдачи заданий на стыке.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ОВЭ75-БИ-Л1-PFD — Принципиальная технологическая схема (PFD)</w:t>
      </w:r>
    </w:p>
    <w:p>
      <w:r>
        <w:rPr>
          <w:sz w:val="20"/>
        </w:rPr>
        <w:t xml:space="preserve">— ОВЭ75-БИ-Л1-НО — Спецификация нетипового оборудования с техническими требованиями</w:t>
      </w:r>
    </w:p>
    <w:p>
      <w:r>
        <w:rPr>
          <w:sz w:val="20"/>
        </w:rPr>
        <w:t xml:space="preserve">— ОВЭ75-БИ-Л1-ЭЧ — Эскизные чертежи нетипового оборудования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ОВЭ75-БИ-Л1-ЭС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ОВЭ75-БИ-Л1-LL — Перечень трубопроводов, арматуры и приборов КИПиА (line list)</w:t>
      </w:r>
    </w:p>
    <w:p>
      <w:r>
        <w:rPr>
          <w:sz w:val="20"/>
        </w:rPr>
        <w:t xml:space="preserve">— ОВЭ75-БИ-Л1-СТ — Стоимостной блок: порядок сбора ТКП и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1.3 Статусы поставки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Серийное оборудование; поставляется комплектно изготовителем по результатам запроса технико-коммерческих предложений (не менее 2–3 ТКП на позицию — требование ТЗ).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Изготовление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Нестандартизированное изделие; изготавливается заводом-изготовителем по техническим требованиям и эскизным чертежам Исполнителя (задание на изготовление).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Перепроектируется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Существующее решение исходных данных перерабатывается под новые параметры; изготовление — по переработанной документации.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Изготовление или 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Способ поставки (серийное изделие либо изготовление по документации) определяется по результатам ТКП.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Часть в наличии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Часть единиц имеется у Заказчика; объём дополнительной поставки уточняется.</w:t>
            </w:r>
          </w:p>
        </w:tc>
      </w:tr>
    </w:tbl>
    <w:p>
      <w:r>
        <w:rPr>
          <w:sz w:val="20"/>
        </w:rPr>
        <w:t xml:space="preserve">По документации Исполнителя (технические требования, эскизные чертежи) изготавливаются: приёмные бункера; расходные бункера шихты; печь кипящего слоя (КС); котёл-утилизатор; приёмный бункер охлаждённого огарка и грубой пыли; приёмный бункер охлаждённой тонкой пыли. Комплектно по ТКП изготовителей поставляются 20 позиций из 27. Количество или характеристики уточняются по 7 позициям: барабанные вакуум-фильтры для пульпы медного концентрата; ленточные транспортёры (в т.ч. реверсивные); ленточные транспортёры для цементной меди; шнековые транспортёры для цементной меди; воздуходувка дутьевая; рукавный фильтр(ы) аспирации; дымосос(ы) аспирации.</w:t>
      </w:r>
    </w:p>
    <w:p>
      <w:r>
        <w:rPr>
          <w:i/>
          <w:color w:val="555555"/>
          <w:sz w:val="18"/>
        </w:rPr>
        <w:t xml:space="preserve">Марка стали циклона, электрофильтра и дымососов принята 12Х18Н10Т: в ИД ч.1 табл. 23 обозначение марки содержит опечатку («12Х1812Т»), принятое написание согласовано с данными табл. 24Б.</w:t>
      </w:r>
    </w:p>
    <w:p>
      <w:pPr>
        <w:pStyle w:val="Heading1"/>
      </w:pPr>
      <w:r>
        <w:rPr>
          <w:b/>
          <w:sz w:val="28"/>
        </w:rPr>
        <w:t xml:space="preserve">2. Спецификация оборудования Лота №1</w:t>
      </w:r>
    </w:p>
    <w:p>
      <w:r>
        <w:rPr>
          <w:i/>
          <w:color w:val="555555"/>
          <w:sz w:val="18"/>
        </w:rPr>
        <w:t xml:space="preserve">Полужирным выделены ключевые позиции лота — основное оборудование, по которому выпускаются опросные листы и запрашиваются ТКП; перечень основного оборудования закрепляется протоколом с Заказчиком.</w:t>
      </w:r>
    </w:p>
    <w:p>
      <w:pPr>
        <w:pStyle w:val="Heading2"/>
      </w:pPr>
      <w:r>
        <w:rPr>
          <w:b/>
          <w:sz w:val="24"/>
        </w:rPr>
        <w:t xml:space="preserve">2.1 Фильтрация концентрата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ТЗ на БИ п. 3.4</w:t>
            </w:r>
          </w:p>
          <w:p>
            <w:r>
              <w:rPr>
                <w:color w:val="333333"/>
                <w:sz w:val="15"/>
              </w:rPr>
              <w:t xml:space="preserve">2 × 32 м² с вакуум-станцией; резервирование 2 × 100 % по площади фильтрации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52–54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Приём и откачка фильтрата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Шихтоподготовка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Ленточные транспортёры (в т.ч. реверсивные)</w:t>
            </w:r>
          </w:p>
          <w:p>
            <w:r>
              <w:rPr>
                <w:color w:val="333333"/>
                <w:sz w:val="15"/>
              </w:rPr>
              <w:t xml:space="preserve">УКВ-320-Ц-60 / УКВ-200-Ц-60 / УКВ-200-Ц-37,5 / УКВ-320-Ц-95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Транспортировка медного концентрата, кека NNH, оборотных материалов и продуктов обжига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на стадии ОТР; 5 реверсивных на загрузку бункеров шихты и печи КС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резина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Ширина ленты 400 мм, средняя длина 3000 мм, высота слоя 100 мм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3,4–30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Часть в наличии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Ленточные транспортёры для цементной меди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Транспортировка цементной меди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на стадии ОТР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сталь, кислотоупорная резина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Шнековые транспортёры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Транспортировка пылящих высокотемпературных компонентов шихты (кроме цементной меди) и продуктов обжига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на подачу шихты; отдельные под пыль КУ / циклона / электрофильтра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Ø320 L10000 и L1000 мм; под пыль КУ Ø360 L5000; циклона Ø360 L5000; электрофильтра Ø200 L5000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Шнековые транспортёры для цементной меди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Транспортировка цементной меди и шихты, её содержащей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Приёмные бункера</w:t>
            </w:r>
          </w:p>
          <w:p>
            <w:r>
              <w:rPr>
                <w:color w:val="333333"/>
                <w:sz w:val="15"/>
              </w:rPr>
              <w:t xml:space="preserve">Цилиндрические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сменного запаса медного концентрата, кека NNH, цементной меди, огарка для запуска печи КС, возврат пыли электрофильтра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для обеспечения непрерывной работы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Концентрат 60 м³, кек 20 м³, цементная медь 10 м³, оборотные материалы 50 м³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футеровка полиэтиленом РЕ500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Расходные бункера шихты</w:t>
            </w:r>
          </w:p>
          <w:p>
            <w:r>
              <w:rPr>
                <w:color w:val="333333"/>
                <w:sz w:val="15"/>
              </w:rPr>
              <w:t xml:space="preserve">Цилиндрические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Бесперебойное питание печи КС шихтой постоянного состава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на смену — 60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футеровка полиэтиленом РЕ500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Дисковый (тарельчатый) питатель</w:t>
            </w:r>
          </w:p>
          <w:p>
            <w:r>
              <w:rPr>
                <w:color w:val="333333"/>
                <w:sz w:val="15"/>
              </w:rPr>
              <w:t xml:space="preserve">ZC-300 / ZC-800 / ZC-1200 / ZC-1500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Дозированная подача компонентов шихты на смешение и подача шихты в печь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ZC-300 до 3,6 т/ч; ZC-800 до 8 т/ч; ZC-1200 до 18 т/ч; ZC-1500 до 22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2×ZC-300, 1×ZC-800, 1×ZC-1200, 2×ZC-1500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ZC-300 (цементная медь) и ZC-1500 (шихта) — нержавеющая сталь; остальные — углеродистая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Концентрат Ø1200 Н100; кек Ø800 Н100; медь Ø300 Н100; оборотные Ø300 Н100 мм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0,75–3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Дозатор ленточный</w:t>
            </w:r>
          </w:p>
          <w:p>
            <w:r>
              <w:rPr>
                <w:color w:val="333333"/>
                <w:sz w:val="15"/>
              </w:rPr>
              <w:t xml:space="preserve">4488 ДН-У-1-X-40-1800-0-0.X (X = 3,2; 4; 5; 16; 25)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Регулировка подачи компонентов шихты на смешение и подачи шихты в печь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индексу X: до 3,2 / 4 / 5 / 16 / 25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1 шт. на X=3,2; 4; 5; 16 и 2 шт. на X=25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X=3,2 и 25 — нержавеющая сталь и кислотоупорная резина; остальные — углеродистая сталь и обычная резина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Лента 500 мм, погонная нагрузка 40 кг/м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0,55–1,5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Шнековый смеситель</w:t>
            </w:r>
          </w:p>
          <w:p>
            <w:r>
              <w:rPr>
                <w:color w:val="333333"/>
                <w:sz w:val="15"/>
              </w:rPr>
              <w:t xml:space="preserve">СШ-25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Приготовление шихты для обжига в печи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10–25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Рабочий объём 3,8 м³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37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Обжиг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Подача шихты в печь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20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жаропрочная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Ø150, L1500 мм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3,5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Мазутная горелка (подогрев дутья)</w:t>
            </w:r>
          </w:p>
          <w:p>
            <w:r>
              <w:rPr>
                <w:color w:val="333333"/>
                <w:sz w:val="15"/>
              </w:rPr>
              <w:t xml:space="preserve">ГМ-4,5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Подогрев дутья перед подачей в печь КС (вспомогательный вариант)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464 кг/ч по мазуту; коэффициент рабочего регулирования тепловой мощности</w:t>
            </w:r>
          </w:p>
          <w:p>
            <w:r>
              <w:rPr>
                <w:color w:val="333333"/>
                <w:sz w:val="15"/>
              </w:rPr>
              <w:t xml:space="preserve">Тепловая мощность топки-смесителя дутья 5,22 МВт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Мазутная горелка (разогрев печи)</w:t>
            </w:r>
          </w:p>
          <w:p>
            <w:r>
              <w:rPr>
                <w:color w:val="333333"/>
                <w:sz w:val="15"/>
              </w:rPr>
              <w:t xml:space="preserve">МГМГ-10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Подогрев огарка в печи КС после продолжительной остановки на ремонт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940 кг/ч по мазуту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Печь кипящего слоя (КС)</w:t>
            </w:r>
          </w:p>
          <w:p>
            <w:r>
              <w:rPr>
                <w:color w:val="333333"/>
                <w:sz w:val="15"/>
              </w:rPr>
              <w:t xml:space="preserve">Характеристики по ИД ч.1 табл. 23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Окислительный обжиг шихты на основе медного концентрата ОРФ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10–16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Единомоментное количество огарка в печи — 139,0 т</w:t>
            </w:r>
          </w:p>
          <w:p>
            <w:r>
              <w:rPr>
                <w:color w:val="333333"/>
                <w:sz w:val="15"/>
              </w:rPr>
              <w:t xml:space="preserve">Ø6000/8390 мм; 583 сопла (ХН78Т); футеровка шамотом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24Б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Воздуходувка дутьевая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Создание псевдоожиженного слоя в печи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ТЗ на БИ, п. 3.4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17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Дроссельный затвор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Регулирование газового тракта печи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1,0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2.4 Газоочистка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18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Котёл-утилизатор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Охлаждение и рекуперация тепла отходящего газа, улавливание «грубой»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30 000 нм³/ч; пар 1,9 МПа, 375 °С</w:t>
            </w:r>
          </w:p>
          <w:p>
            <w:r>
              <w:rPr>
                <w:color w:val="333333"/>
                <w:sz w:val="15"/>
              </w:rPr>
              <w:t xml:space="preserve">Паропроизводительность до 7 т/ч; изготовители-кандидаты — ООО «Белэнергомаш-БЗЭМ», ОАО «Энергоцветмет»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264–272; табл. 24Б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Объём бункера пылесборника 15 м³; НЗП в газоходе «печь КС – КУ» 50 т пыли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Перепроек­тируется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19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Одиночный циклон</w:t>
            </w:r>
          </w:p>
          <w:p>
            <w:r>
              <w:rPr>
                <w:color w:val="333333"/>
                <w:sz w:val="15"/>
              </w:rPr>
              <w:t xml:space="preserve">СЦН-50-1800×1УП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Очистка газа от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32 000 м³/ч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12Х18Н10Т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Объём бункера пылесборника 8,5 м³; НЗП в газоходе «КУ – циклон» 50 т</w:t>
            </w:r>
          </w:p>
          <w:p>
            <w:r>
              <w:rPr>
                <w:color w:val="333333"/>
                <w:sz w:val="15"/>
              </w:rPr>
              <w:t xml:space="preserve">Масса 1,19 т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20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Сухой электрофильтр</w:t>
            </w:r>
          </w:p>
          <w:p>
            <w:r>
              <w:rPr>
                <w:color w:val="333333"/>
                <w:sz w:val="15"/>
              </w:rPr>
              <w:t xml:space="preserve">УГТ1-20-4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Очистка газа от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57 600 м³/ч; электропитание 80 кВ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12Х18Н10Т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Объём бункера пылесборника 10 м³; НЗП в газоходе «циклон – ЭФ» 10 т</w:t>
            </w:r>
          </w:p>
          <w:p>
            <w:r>
              <w:rPr>
                <w:color w:val="333333"/>
                <w:sz w:val="15"/>
              </w:rPr>
              <w:t xml:space="preserve">Масса 72,6 т каждый; габарит 18 110 × 4 790 × 18 695 мм; агрегаты питания ОПМД-400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331, 355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0,4×80 кВ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Дымосос</w:t>
            </w:r>
          </w:p>
          <w:p>
            <w:r>
              <w:rPr>
                <w:color w:val="333333"/>
                <w:sz w:val="15"/>
              </w:rPr>
              <w:t xml:space="preserve">ДН-15БНЖ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Перемещение газа по газовому тракту, подача очищенного газа в СКЦ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78 000 м³/ч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12Х18Н10Т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Масса дымососа 3,32 т, двигателя ДА304-400Х-4 — 2,32 т; 1500 об/мин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380–392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400 кВт, 6000 В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2.5 Охлаждение продуктов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Шнековый холодильник огарка и грубой пыли</w:t>
            </w:r>
          </w:p>
          <w:p>
            <w:r>
              <w:rPr>
                <w:color w:val="333333"/>
                <w:sz w:val="15"/>
              </w:rPr>
              <w:t xml:space="preserve">D2424-6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Охлаждение огарка и пыли КУ и одиночного циклона до 70 °С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15 т/ч; оборотная вода 176,9 т/ч (0,6 МПа, 25→35 °С)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316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2 шнека Ø610, L7315 мм</w:t>
            </w:r>
          </w:p>
          <w:p>
            <w:r>
              <w:rPr>
                <w:color w:val="333333"/>
                <w:sz w:val="15"/>
              </w:rPr>
              <w:t xml:space="preserve">Поверхность теплообмена 57 м²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407–449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15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Шнековый холодильник тонкой пыли</w:t>
            </w:r>
          </w:p>
          <w:p>
            <w:r>
              <w:rPr>
                <w:color w:val="333333"/>
                <w:sz w:val="15"/>
              </w:rPr>
              <w:t xml:space="preserve">S710-4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Охлаждение пыли электрофильтра до 70 °С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1 т/ч; оборотная вода 2,197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316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шнек Ø187, L3048 мм</w:t>
            </w:r>
          </w:p>
          <w:p>
            <w:r>
              <w:rPr>
                <w:color w:val="333333"/>
                <w:sz w:val="15"/>
              </w:rPr>
              <w:t xml:space="preserve">Поверхность теплообмена 1,95 м²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407–449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2.6 Отгрузка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Приёмный бункер охлаждённого огарка и грубой пыли</w:t>
            </w:r>
          </w:p>
          <w:p>
            <w:r>
              <w:rPr>
                <w:color w:val="333333"/>
                <w:sz w:val="15"/>
              </w:rPr>
              <w:t xml:space="preserve">Типа силосной башни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на сутки работы — 100 м³</w:t>
            </w:r>
          </w:p>
          <w:p>
            <w:r>
              <w:rPr>
                <w:color w:val="333333"/>
                <w:sz w:val="15"/>
              </w:rPr>
              <w:t xml:space="preserve">Силосная башня с виброразгружателем и тензоконтролем; отгрузка в автоцементовозы 45 м³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475, 486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футеровка полиэтиленом РЕ500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 или 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25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Приёмный бункер охлаждённой тонкой пыли</w:t>
            </w:r>
          </w:p>
          <w:p>
            <w:r>
              <w:rPr>
                <w:color w:val="333333"/>
                <w:sz w:val="15"/>
              </w:rPr>
              <w:t xml:space="preserve">Типа силосной башни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на сутки работы — 10 м³</w:t>
            </w:r>
          </w:p>
          <w:p>
            <w:r>
              <w:rPr>
                <w:color w:val="333333"/>
                <w:sz w:val="15"/>
              </w:rPr>
              <w:t xml:space="preserve">Силосная башня с виброразгружателем и тензоконтролем; отгрузка в автоцементовозы 45 м³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475, 486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футеровка полиэтиленом РЕ500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 или 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2.7 Аспирация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Рукавный фильтр(ы) аспирации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Очистка аспирационных газов от оборудования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27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Дымосос(ы) аспирации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Эвакуация аспирационных газов и сброс очищенного газа на свечу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Сводные показатели по лоту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Позиций в спецификации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27 (участков — 7)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Ключевые позиции (основное оборудование)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5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Распределение по статусам поставки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Закуп — 20; Изготовление — 3; Изготовление или закуп — 2; Часть в наличии — 1; Перепроектируется — 1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Количество задано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20 из 27 позиций; по остальным — уточняется на стадии ОТР и по ТКП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Габариты или масса заданы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13 из 27 позиций; по остальным — по ТКП изготовителей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Мощность электроприёмников задана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9 из 27 позиций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Установленная мощность по позициям с единичным значением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≈856,5 кВт: Шнековый смеситель — 1 × 37 кВт; Шнековый забрасыватель шихты — 1 × 3,5 кВт; Дроссельный затвор — 1 × 1 кВт; Дымосос — 2 × 400 кВт; Шнековый холодильник огарка и грубой пыли — 1 × 15 кВт</w:t>
            </w:r>
          </w:p>
        </w:tc>
      </w:tr>
    </w:tbl>
    <w:p>
      <w:r>
        <w:rPr>
          <w:i/>
          <w:color w:val="555555"/>
          <w:sz w:val="18"/>
        </w:rPr>
        <w:t xml:space="preserve">Суммирование выполнено только по позициям, для которых задано одно значение мощности и целое количество единиц; позиции с диапазоном мощности и без данных в сумму не входят. Полная таблица электроприёмников лота сводится в документе по электроснабжению после получения ТКП.</w:t>
      </w:r>
    </w:p>
    <w:p>
      <w:pPr>
        <w:pStyle w:val="Heading1"/>
      </w:pPr>
      <w:r>
        <w:rPr>
          <w:b/>
          <w:sz w:val="28"/>
        </w:rPr>
        <w:t xml:space="preserve">4. Пояснения к составу оборудования и источники данных</w:t>
      </w:r>
    </w:p>
    <w:p>
      <w:r>
        <w:rPr>
          <w:sz w:val="20"/>
        </w:rPr>
        <w:t xml:space="preserve">Основание — разделы пояснительной записки «Перечень основного и вспомогательного технологического оборудования» и «Спецификации, опросные листы, нетиповое оборудование и оборудование длительного цикла изготовления».</w:t>
      </w:r>
    </w:p>
    <w:p>
      <w:r>
        <w:rPr>
          <w:sz w:val="20"/>
        </w:rPr>
        <w:t xml:space="preserve">Состав оборудования принят по ИД табл. 23, 24Б и разделу НЗП; полная ведомость с характеристиками, массой и энергопотреблением оформляется спецификацией по ГОСТ 21.110-2013. Ядро линии (нестандартное/изготовление): печь КС HATCH (Ø6000/8390 мм, 583 сопла, футеровка шамотом; изготовление по конструкторской документации печи, входящей в состав исходных данных Заказчика, — правовой режим использования КД определяется Заказчиком), котёл-утилизатор (проектируется заново; изготовители-кандидаты ООО «Белэнергомаш-БЗЭМ», ОАО «Энергоцветмет»; до 30 000 нм³/ч, пар до 7 т/ч, 1,9 МПа/375 °C), скоростной шнековый забрасыватель шихты (по референсу ЧЦЗ), мазутная топка-смеситель дутья с горелкой ГМ-4,5 (5,22 МВт) и три разогревные горелки МГМГ-10.</w:t>
      </w:r>
    </w:p>
    <w:p>
      <w:r>
        <w:rPr>
          <w:sz w:val="20"/>
        </w:rPr>
        <w:t xml:space="preserve">Серийное оборудование (закуп): одиночный циклон СЦН-50-1800×1УП (1 шт., 1,19 т); электрофильтры УГТ1-20-4 (2 шт., по 72,6 т, габарит 18 110×4 790×18 695 мм, агрегаты ОПМД-400); дымососы ДН-15БНЖ (2 шт., двигатель ДА304-400Х-4: 400 кВт, 6 кВ, 1500 об/мин); шнековые холодильники Holo-Screw Flite D2424-6 (огарок; 57 м²) и S710-4 (тонкая пыль; 1,95 м²); барабанные вакуум-фильтры 2×32 м² с вакуум-станцией; станция растаривания биг-бэгов (ГК КИП-Сервис); дисковые питатели ZC300 (2), ZC800 (1), ZC1200 (1), ZC1500 (2); ленточные весовые дозаторы 4488 ДН-У-1-X (X = 3,2/4/5/16 — по 1 шт., X = 25 — 2 шт.); двухшнековый смеситель СШ-25; винтовые конвейеры УКВ-200/320 (7+ шт.); реверсивные ленточные конвейеры (5 шт.); силосные башни 100 м³ и 10 м³ (НПО «Спецнефтемаш») с виброразгружателями и тензоконтролем CLF-300; автоцементовозы BULL-WABCO-45 (45 м³). Ёмкостное/бункерное хозяйство: приёмные бункеры 60/20/10/50(+20) м³, расходные 2×60 м³ — изготовление, футеровка PE500, вибрационные аэраторы VBS.</w:t>
      </w:r>
    </w:p>
    <w:p>
      <w:r>
        <w:rPr>
          <w:sz w:val="20"/>
        </w:rPr>
        <w:t xml:space="preserve">Материальное исполнение: тракты цементной меди и шихты — AISI 316 / 12Х18Н10Т (в ИД марка стали циклона/ЭФ/дымососа напечатана как «12Х1812Т» — принимается 12Х18Н10Т, нормализация опечатки согласована с данными табл. 24Б); газоход — 09Г2С с футеровкой легковесом ШЛ-0,4; сопла — ХН78Т. Резервирование: ЭФ 2×100 %, дымососы 2×100 %, вакуум-фильтры 2×100 % по площади, остальное — по запасу производительности 1,15. Оборудование в ИД указано с конкретными изготовителями — в БИ по каждой позиции основного перечня запрашиваются бюджетные ТКП 2–3 поставщиков (ТЗ п.3.6 в ред. v4.1) с проверкой аналогов; отклонения от референсных марок допускаются при подтверждении характеристик.</w:t>
      </w:r>
    </w:p>
    <w:p>
      <w:pPr>
        <w:pStyle w:val="Heading2"/>
      </w:pPr>
      <w:r>
        <w:rPr>
          <w:b/>
          <w:sz w:val="24"/>
        </w:rPr>
        <w:t xml:space="preserve">4.1 Данные для спецификации из раздела о спецификации и опросных листах</w:t>
      </w:r>
    </w:p>
    <w:p>
      <w:r>
        <w:rPr>
          <w:sz w:val="20"/>
        </w:rPr>
        <w:t xml:space="preserve">Спецификация основного и вспомогательного оборудования оформляется по ГОСТ 21.110-2013 с обязательными графами ТЗ п.3.5: технические характеристики, габариты, масса, энергопотребление; базовое наполнение — из ИД табл. 23/24Б/25 (позиции, типоразмеры, массы: ЭФ 72,6 т, циклон 1,19 т, дымосос 3,32+2,32 т и т.д.) с дополнением данными ТКП. Спецификация нетипового оборудования с техтребованиями к проектированию, изготовлению и поставке + эскизные чертежи (ГОСТ 2.119-2013): печь КС (корпус, свод, газораспределительная подина с 583 соплами ХН78Т, пороги выгрузки с дроссельным затвором и ножевой шиберной задвижкой, шнековый забрасыватель), котёл-утилизатор (перепроектирование под параметры ИД), топка-смеситель дутья, приёмные/расходные бункеры с футеровкой PE500, силосные башни, укрытия и узлы аспирации, газоходы Ø2000/Ø1100 с футеровкой.</w:t>
      </w:r>
    </w:p>
    <w:p>
      <w:r>
        <w:rPr>
          <w:i/>
          <w:color w:val="555555"/>
          <w:sz w:val="18"/>
        </w:rPr>
        <w:t xml:space="preserve">Опросные листы, требования к монтажу и исходные требования на оборудование длительного цикла изготовления в настоящем документе не повторяются — см. ОВЭ75-БИ-Л1-ОЛ, ОВЭ75-БИ-Л1-ДЦ, ОВЭ75-БИ-Л1-МТ.</w:t>
      </w:r>
    </w:p>
    <w:p>
      <w:pPr>
        <w:pStyle w:val="Heading2"/>
      </w:pPr>
      <w:r>
        <w:rPr>
          <w:b/>
          <w:sz w:val="24"/>
        </w:rPr>
        <w:t xml:space="preserve">4.2 Определяющие позиции и источники значений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Печь КС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 шт., 10–16 т/ч по шихте, изготовление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24Б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 шт., до 30 000 нм³/ч, перепроектируется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п.264-272; табл. 24Б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Электрофильтр УГТ1-20-4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шт. (1 резерв), по 72,6 т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п.331, 355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Дымосос ДН-15БНЖ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шт. (1 резерв), 400 кВт, 6 кВ, 1500 об/мин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п.380-392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Холодильники Holo-Screw Flite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D2424-6 (1 шт.) и S710-4 (1 шт.), сталь 316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п.407-449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Вакуум-фильтры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× 32 м² барабанные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п.52-54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Питатели/дозаторы/конвейеры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ZC300…ZC1500 — 6 шт.; дозаторы — 6 шт.; УКВ — 7+ шт.; лента — 5 шт.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24Б; разд. 5 (НЗП)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Силосные башни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100 м³ (огарок+грубая пыль) и 10 м³ (тонкая пыль)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п.475, 486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Объём комплекта ОЛ (оценка)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~35–45 позиций технологического + электро + КИП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состав по ИД табл. 24Б; оценка Исполнителя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Определяющий режим для газового тракта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вспомогательный (21 830 нм³/ч, 5 426 Па)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Определяющий режим для кислородного узла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основной (4 687 нм³/ч O₂)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п.198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Длительный цикл (оценка сроков)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печь 12–18 мес; КУ 12–16; ЭФ 10–14 мес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оценка Исполнителя (уточняется ТКП)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Нормативные документы, определяющие требования к оборудованию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10080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Правила выполнения спецификации оборудования, изделий и материалов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Безопасность машин и оборудования — декларирование/сертификация всех механизмов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032/2013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Оборудование под давлением — КУ, ресиверы, паропроводы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Климатическое исполнение оборудования (УХЛ4 в отапливаемых помещениях; УХЛ1 — наружные установки)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12.2.003-91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Общие требования безопасности к производственному оборудованию (ограждения, блокировки шнеков и конвейеров)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2.119-2013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Эскизный проект — состав эскизных чертежей нетипового оборудования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15.005-86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Создание изделий единичного и мелкосерийного производства — печь, КУ, нетиповые металлоконструкции (уточнить применимость с Заказчиком)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010/2011, ТР ТС 032/2013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Обязательная оценка соответствия — фиксируется в ОЛ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Оборудование вне БИ и на границах лота</w:t>
      </w:r>
    </w:p>
    <w:p>
      <w:pPr>
        <w:pStyle w:val="Heading2"/>
      </w:pPr>
      <w:r>
        <w:rPr>
          <w:b/>
          <w:sz w:val="24"/>
        </w:rPr>
        <w:t xml:space="preserve">5.1 Позиции лота на границе объёма поставки</w:t>
      </w:r>
    </w:p>
    <w:p>
      <w:r>
        <w:rPr>
          <w:sz w:val="20"/>
        </w:rPr>
        <w:t xml:space="preserve">Позиции основной таблицы, по которым объём поставки ограничен границей БИ, существующим оборудованием Заказчика или перечнем «не включается» ТЗ: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700"/>
        <w:gridCol w:w="4200"/>
        <w:gridCol w:w="2800"/>
        <w:gridCol w:w="6580"/>
      </w:tblGrid>
      <w:tr>
        <w:trPr>
          <w:tblHeader/>
          <w:cantSplit/>
        </w:trPr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Поз.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</w:t>
            </w:r>
          </w:p>
        </w:tc>
        <w:tc>
          <w:tcPr>
            <w:tcW w:w="28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6580" w:type="dxa"/>
            <w:shd w:val="clear" w:fill="EFEFEF"/>
          </w:tcPr>
          <w:p>
            <w:r>
              <w:rPr>
                <w:b/>
                <w:sz w:val="17"/>
              </w:rPr>
              <w:t xml:space="preserve">Ограничение объёма поставки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4200" w:type="dxa"/>
          </w:tcPr>
          <w:p>
            <w:r>
              <w:rPr>
                <w:sz w:val="17"/>
              </w:rPr>
              <w:t xml:space="preserve">Ленточные транспортёры (в т.ч. реверсивные)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 xml:space="preserve">Часть в наличии</w:t>
            </w:r>
          </w:p>
        </w:tc>
        <w:tc>
          <w:tcPr>
            <w:tcW w:w="6580" w:type="dxa"/>
          </w:tcPr>
          <w:p>
            <w:r>
              <w:rPr>
                <w:sz w:val="17"/>
              </w:rPr>
              <w:t xml:space="preserve">Часть единиц имеется у Заказчика; объём дополнительной поставки уточняется.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5.2 Данные на границах лота (задания на стыке)</w:t>
      </w:r>
    </w:p>
    <w:p>
      <w:r>
        <w:rPr>
          <w:sz w:val="20"/>
        </w:rPr>
        <w:t xml:space="preserve">Сводка по разделу пояснительной записки «Интерфейсы Лота №1: границы со смежными лотами, СКЦ, ГМЦ и инфраструктурой площадки».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Стык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на границе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Границы проектирования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9 фланцевых позиций — по каждой интерфейсная карта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п.3.3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 ГМЦ (огарок + пыли)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102 058 т/год = 99 142 (тракт огарка) + 2 916 (тонкая пыль)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22; пересчёт Исполнителя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 СКЦ (газ)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13 262/21 830 нм³/ч; SO₂ 15,59/9,49 %; 387 °C; ≤0,1 г/нм³; S 21 307 т/год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22; табл. 23 п.400-403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 паросеть площадки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4,1/6,5 т/ч (0,6 МПа, 159 °C после РОУ)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разд. 2.5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Возврат фильтрата в ОРФ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23 332 м³/год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п.55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Транспорт огарка/пыли до ГМЦ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определяется при разработке ОТР; в БИ — цементовозная схема от силосов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ТЗ, общее описание технологии ОВЭ; ИД табл. 23 п.474-499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Межцеховая блокировка с СКЦ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остановка СКЦ → остановка загрузки печи (уровень ИУС)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 (следствие ТЗ п.2.10)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Смежное оборудование вне БИ (справочно)</w:t>
      </w:r>
    </w:p>
    <w:p>
      <w:r>
        <w:rPr>
          <w:sz w:val="20"/>
        </w:rPr>
        <w:t xml:space="preserve">Оборудование смежных участков гидрометаллургического передела, примыкающее к лоту по материальному потоку. В объём поставки лота не входит; параметры заданы ИД ч.2 табл. 4.1 и приводятся для увязки границ и проверки исходных требований смежникам.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300"/>
        <w:gridCol w:w="3200"/>
        <w:gridCol w:w="3200"/>
        <w:gridCol w:w="1100"/>
        <w:gridCol w:w="1900"/>
        <w:gridCol w:w="1580"/>
      </w:tblGrid>
      <w:tr>
        <w:trPr>
          <w:tblHeader/>
          <w:cantSplit/>
        </w:trPr>
        <w:tc>
          <w:tcPr>
            <w:tcW w:w="33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 (поз. по ИД)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58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>
                <w:sz w:val="16"/>
              </w:rPr>
              <w:t xml:space="preserve">Головные реакторы-репульпаторы</w:t>
            </w:r>
          </w:p>
          <w:p>
            <w:r>
              <w:rPr>
                <w:color w:val="555555"/>
                <w:sz w:val="14"/>
              </w:rPr>
              <w:t xml:space="preserve">Поз. по ИД: 4.1.10, 4.1.11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Начало выщелачивания огарка; максимально интенсивное перемешивание, коническое днище, рециркуляция пульпы либо воздушный аэролифт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Время контакта 0,05 ч; поток 124,7 м³/ч; расч. 6,2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параллельно (один дублирует другой на период чистки гарнисажа)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Hastelloy G-35 (Haynes Int.) или аналог; допустима сталь 904L</w:t>
            </w:r>
          </w:p>
        </w:tc>
        <w:tc>
          <w:tcPr>
            <w:tcW w:w="1580" w:type="dxa"/>
          </w:tcPr>
          <w:p>
            <w:r>
              <w:rPr>
                <w:sz w:val="16"/>
              </w:rPr>
              <w:t xml:space="preserve">V = 10,0 м³; факт. 16 м³; коэфф. запаса 2,6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6. Открытые позиции</w:t>
      </w:r>
    </w:p>
    <w:p>
      <w:r>
        <w:rPr>
          <w:sz w:val="20"/>
        </w:rPr>
        <w:t xml:space="preserve">Перечень вопросов, определяемых на стадии Базового инжиниринга и по результатам запроса ТКП; до их закрытия соответствующие графы спецификации носят предварительный характер.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Замена/аналог холодильников типа Holo-Screw Flite с учётом ограничений доступности поставки и сервиса — проработка доступных аналогов и альтернативных изготовителей в ТКП-кампании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Конструкция и изготовитель печи КС: правовой режим использования проекта HATCH — уточнить у Заказчика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и параметры воздуходувки дутья (ТЗ п.3.4 требует включить в БИ; в ИД характеристик нет) — выбрать на стадии БИ (см. раздел фундаментов пояснительной записки)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Формы опросных листов КГМК — запросить у Заказчика до выпуска комплекта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оборудования, передаваемого в ЦИМ (Приложение №4) — увязка атрибутов спецификации с моделью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Статус проекта печи HATCH (права, актуализация под РФ-изготовителя) — решение Заказчика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Количество единиц по позициям: барабанные вакуум-фильтры для пульпы медного концентрата; ленточные транспортёры (в т.ч. реверсивные); ленточные транспортёры для цементной меди; шнековые транспортёры для цементной меди; воздуходувка дутьевая; рукавный фильтр(ы) аспирации; дымосос(ы) аспирации — по компоновке и балансам БИ, ТКП изготовителей.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масса по 14 позициям из 27 (в исходных данных не заданы) — по ТКП изготовителей; массы самых тяжёлых неразъёмных частей — в требованиях к монтажу.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Установленная мощность электроприёмников по 18 позициям из 27 — по ТКП; сводная таблица электроприёмников — в документе по электроснабжению.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спецификации (характеристики, габариты, массы, энергопотребление по всем позициям) — после получения бюджетных ТКП не менее чем от 2–3 изготовителей на каждую позицию основного оборудования.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