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№2 «Участок купороса»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ИД ч.2 (табл. 4.1, рис. 4.4 и 4.5); ТЗ на БИ ред. 4.1 — границы проектирования Лота №2 (п. 4.3) и состав оборудования (п. 4.4)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Основное и вспомогательное технологическое оборудование и трубопроводы в границах проектирования. Две независимые нитки вакуумной кристаллизации: медный купорос (оборотный) и смешанный медно-никелевый купорос (товарный).</w:t>
      </w:r>
    </w:p>
    <w:p>
      <w:r>
        <w:rPr>
          <w:sz w:val="20"/>
        </w:rPr>
        <w:t xml:space="preserve">Участки лота по ТЗ: вакуумная кристаллизация медного купороса (2 ступени); растворение медного купороса; вакуумная кристаллизация смешанного медно-никелевого купороса (2 ступени); фасовка, пробоотбор и коммерческий учёт медно-никелевого купороса.</w:t>
      </w:r>
    </w:p>
    <w:p>
      <w:r>
        <w:rPr>
          <w:sz w:val="20"/>
        </w:rPr>
        <w:t xml:space="preserve">Режим работы: 345 дней/год, 8322 ч, круглосуточно.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ОВЭ75-БИ-Л2-PFD — Принципиальная технологическая схема (PFD)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ОВЭ75-БИ-Л2-ЭС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ОВЭ75-БИ-Л2-LL — Перечень трубопроводов, арматуры и приборов КИПиА (line list)</w:t>
      </w:r>
    </w:p>
    <w:p>
      <w:r>
        <w:rPr>
          <w:sz w:val="20"/>
        </w:rPr>
        <w:t xml:space="preserve">— ОВЭ75-БИ-Л2-СТ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</w:tbl>
    <w:p>
      <w:r>
        <w:rPr>
          <w:sz w:val="20"/>
        </w:rPr>
        <w:t xml:space="preserve">Позиций, изготавливаемых по документации Исполнителя, в перечне нет. Комплектно по ТКП изготовителей поставляются 17 позиций из 17.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№2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Кристаллизация медного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Испаритель I ступени (выпарной аппарат)</w:t>
            </w:r>
          </w:p>
          <w:p>
            <w:r>
              <w:rPr>
                <w:color w:val="333333"/>
                <w:sz w:val="15"/>
              </w:rPr>
              <w:t xml:space="preserve">УУСС: испаритель EV-2 с выносным нагревателем</w:t>
            </w:r>
          </w:p>
          <w:p>
            <w:r>
              <w:rPr>
                <w:color w:val="555555"/>
                <w:sz w:val="14"/>
              </w:rPr>
              <w:t xml:space="preserve">Поз. по ИД: 4.1.1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оборотного медного купороса, I ступень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22 800 м³/(м²·ч) по соковому пару; поток 49 417 м³/ч; расчётный D 2,17 м</w:t>
            </w:r>
          </w:p>
          <w:p>
            <w:r>
              <w:rPr>
                <w:i/>
                <w:color w:val="555555"/>
                <w:sz w:val="14"/>
              </w:rPr>
              <w:t xml:space="preserve">Обогрев глухим паром, t = 40 °С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 (1 нитка)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2,0 м; факт. 3,1 м²; коэфф. запаса 1,4</w:t>
            </w:r>
          </w:p>
          <w:p>
            <w:r>
              <w:rPr>
                <w:color w:val="333333"/>
                <w:sz w:val="15"/>
              </w:rPr>
              <w:t xml:space="preserve">Объём аппарата 34,5 м³; выносной подогреватель 63 м²; седиментационный цилиндр 0,3 м²; масса при интегральной поставке ориентировочно 8–15 т (уточняется по данным изготовителя)</w:t>
            </w:r>
          </w:p>
          <w:p>
            <w:r>
              <w:rPr>
                <w:color w:val="666666"/>
                <w:sz w:val="13"/>
              </w:rPr>
              <w:t xml:space="preserve">Источник: ИД ч.2 рис. 4.4; оценка Исполнителя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22 кВт (циркуляционный насос 633 м³/ч)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  <w:p>
            <w:r>
              <w:rPr>
                <w:color w:val="333333"/>
                <w:sz w:val="15"/>
              </w:rPr>
              <w:t xml:space="preserve">УУСС: испаритель EV-2 с принудительной циркуляцией, под доп. разрежением</w:t>
            </w:r>
          </w:p>
          <w:p>
            <w:r>
              <w:rPr>
                <w:color w:val="555555"/>
                <w:sz w:val="14"/>
              </w:rPr>
              <w:t xml:space="preserve">Поз. по ИД: 4.1.2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медного купороса, II ступень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22 000 м³/(м²·ч); поток 23 032 м³/ч; расчётный D 1,05 м</w:t>
            </w:r>
          </w:p>
          <w:p>
            <w:r>
              <w:rPr>
                <w:i/>
                <w:color w:val="555555"/>
                <w:sz w:val="14"/>
              </w:rPr>
              <w:t xml:space="preserve">t = 20 °С; работа за счёт более глубокого разрежения от парового эжектора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2,0 м; факт. 3,1 м²; коэфф. запаса 3,0</w:t>
            </w:r>
          </w:p>
          <w:p>
            <w:r>
              <w:rPr>
                <w:color w:val="333333"/>
                <w:sz w:val="15"/>
              </w:rPr>
              <w:t xml:space="preserve">Унифицирован с аппаратом I ступени (объём 34,5 м³), без подогревателя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555555"/>
                <w:sz w:val="14"/>
              </w:rPr>
              <w:t xml:space="preserve">Поз. по ИД: 4.1.2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Создание глубокого разрежения на II ступени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288 кг/ч по соковому пару; Q расч. 375 кг/ч; P = 0,013 атм (10 мм рт. ст.)</w:t>
            </w:r>
          </w:p>
          <w:p>
            <w:r>
              <w:rPr>
                <w:color w:val="333333"/>
                <w:sz w:val="15"/>
              </w:rPr>
              <w:t xml:space="preserve">Рабочий пар 0,75 т/ч, 6 атм; всасывание 0,013–0,02 атм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555555"/>
                <w:sz w:val="14"/>
              </w:rPr>
              <w:t xml:space="preserve">Поз. по ИД: 4.1.3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Конденсация сокового пара испарителей и пара эжектора, орошение холодной оборотной водой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3,24 т/ч; Q расч. 4,5 т/ч; P = 0,075 атм (55 мм рт. ст.)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1,4</w:t>
            </w:r>
          </w:p>
          <w:p>
            <w:r>
              <w:rPr>
                <w:color w:val="333333"/>
                <w:sz w:val="15"/>
              </w:rPr>
              <w:t xml:space="preserve">D 2,0 м; расход охлаждающей воды 380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  <w:p>
            <w:r>
              <w:rPr>
                <w:color w:val="555555"/>
                <w:sz w:val="14"/>
              </w:rPr>
              <w:t xml:space="preserve">Поз. по ИД: 4.1.4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пульпы медного купороса перед центрифугой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0,5 ч; поток 2,5 м³/ч; расч. 1,27 м³</w:t>
            </w:r>
          </w:p>
          <w:p>
            <w:r>
              <w:rPr>
                <w:color w:val="333333"/>
                <w:sz w:val="15"/>
              </w:rPr>
              <w:t xml:space="preserve">Насос откачки пульпы 21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2,5 м³; факт. 2,0 м³; коэфф. запаса 1,6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Бак маточника</w:t>
            </w:r>
          </w:p>
          <w:p>
            <w:r>
              <w:rPr>
                <w:color w:val="555555"/>
                <w:sz w:val="14"/>
              </w:rPr>
              <w:t xml:space="preserve">Поз. по ИД: 4.1.5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маточника; обогревается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0,5 ч; поток 1,39 м³/ч; расч. 0,69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1,2 м³; факт. 1,0 м³; коэфф. запаса 1,4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333333"/>
                <w:sz w:val="15"/>
              </w:rPr>
              <w:t xml:space="preserve">Фильтрующая центрифуга с пульсирующей выгрузкой</w:t>
            </w:r>
          </w:p>
          <w:p>
            <w:r>
              <w:rPr>
                <w:color w:val="555555"/>
                <w:sz w:val="14"/>
              </w:rPr>
              <w:t xml:space="preserve">Поз. по ИД: 4.1.6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1,70 т/ч; Q расч. 2,5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1,5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15 кВт; 1800 об/мин</w:t>
            </w:r>
          </w:p>
          <w:p>
            <w:r>
              <w:rPr>
                <w:color w:val="666666"/>
                <w:sz w:val="13"/>
              </w:rPr>
              <w:t xml:space="preserve">Источник: ИД ч.2 табл. 4.1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Растворение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  <w:p>
            <w:r>
              <w:rPr>
                <w:color w:val="333333"/>
                <w:sz w:val="15"/>
              </w:rPr>
              <w:t xml:space="preserve">Два последовательных аппарата</w:t>
            </w:r>
          </w:p>
          <w:p>
            <w:r>
              <w:rPr>
                <w:color w:val="555555"/>
                <w:sz w:val="14"/>
              </w:rPr>
              <w:t xml:space="preserve">Поз. по ИД: 4.1.7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Растворение медного купороса в растворе от электроэкстракции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Время контакта 1,0 ч; поток 5,93 м³/ч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316L / полимер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5,0 м³; факт. 8,0 м³; 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Кристаллизация смешанного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  <w:p>
            <w:r>
              <w:rPr>
                <w:color w:val="555555"/>
                <w:sz w:val="14"/>
              </w:rPr>
              <w:t xml:space="preserve">Поз. по ИД: 4.1.23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смешанного медно-никелевого купороса, I ступень, t = 40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22 000 м³/(м²·ч); поток 17 647 м³/ч; расч. D 0,80 м</w:t>
            </w:r>
          </w:p>
          <w:p>
            <w:r>
              <w:rPr>
                <w:i/>
                <w:color w:val="555555"/>
                <w:sz w:val="14"/>
              </w:rPr>
              <w:t xml:space="preserve">Диаметр испарителей увеличен по результатам уточняющих расчётов, предоставляемых в ТР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1,3 м; коэфф. запаса 1,7</w:t>
            </w:r>
          </w:p>
          <w:p>
            <w:r>
              <w:rPr>
                <w:color w:val="333333"/>
                <w:sz w:val="15"/>
              </w:rPr>
              <w:t xml:space="preserve">Объём аппарата 8,9 м³; подогреватель 25 м²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11 кВт (циркуляционный насос 251 м³/ч)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  <w:p>
            <w:r>
              <w:rPr>
                <w:color w:val="555555"/>
                <w:sz w:val="14"/>
              </w:rPr>
              <w:t xml:space="preserve">Поз. по ИД: 4.1.24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смешанного купороса, II ступень, t = 20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22 000 м³/(м²·ч); поток 5530 м³/ч; расч. D 0,25 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1,3 м; коэфф. запаса 5,3</w:t>
            </w:r>
          </w:p>
          <w:p>
            <w:r>
              <w:rPr>
                <w:color w:val="333333"/>
                <w:sz w:val="15"/>
              </w:rPr>
              <w:t xml:space="preserve">Унифицирован с аппаратом I ступени нитки (объём 8,9 м³)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555555"/>
                <w:sz w:val="14"/>
              </w:rPr>
              <w:t xml:space="preserve">Поз. по ИД: 4.1.24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Создание разрежения на II ступени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69 кг/ч по соковому пару; Q расч. 90 кг/ч; P = 0,013 атм</w:t>
            </w:r>
          </w:p>
          <w:p>
            <w:r>
              <w:rPr>
                <w:color w:val="333333"/>
                <w:sz w:val="15"/>
              </w:rPr>
              <w:t xml:space="preserve">Рабочий пар 0,18 т/ч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555555"/>
                <w:sz w:val="14"/>
              </w:rPr>
              <w:t xml:space="preserve">Поз. по ИД: 4.1.25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Конденсация сокового пара, орошение холодной оборотной водой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9,1 т/ч; Q расч. 12,0 т/ч; P = 0,075 атм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1,3</w:t>
            </w:r>
          </w:p>
          <w:p>
            <w:r>
              <w:rPr>
                <w:color w:val="333333"/>
                <w:sz w:val="15"/>
              </w:rPr>
              <w:t xml:space="preserve">D 1,0 м; расход охлаждающей воды 138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Бак маточника 2</w:t>
            </w:r>
          </w:p>
          <w:p>
            <w:r>
              <w:rPr>
                <w:color w:val="555555"/>
                <w:sz w:val="14"/>
              </w:rPr>
              <w:t xml:space="preserve">Поз. по ИД: 4.1.26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маточника; обогрев острым паром. Маточник направляется в ЦЭН — при транспортировке обеспечить t ≥ 30–40 °С либо разбавить водой на 15–20 %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12,0 ч; поток 0,80 м³/ч; расч. 9,64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16,0 м³; факт. 12,8 м³; 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Репульпатор</w:t>
            </w:r>
          </w:p>
          <w:p>
            <w:r>
              <w:rPr>
                <w:color w:val="555555"/>
                <w:sz w:val="14"/>
              </w:rPr>
              <w:t xml:space="preserve">Поз. по ИД: 4.1.27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пульпы смешанного купороса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0,5 ч; поток 1,2 м³/ч; расч. 0,60 м³</w:t>
            </w:r>
          </w:p>
          <w:p>
            <w:r>
              <w:rPr>
                <w:color w:val="333333"/>
                <w:sz w:val="15"/>
              </w:rPr>
              <w:t xml:space="preserve">Насос откачки пульпы 10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1,2 м³; факт. 1,0 м³; коэфф. запаса 1,6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333333"/>
                <w:sz w:val="15"/>
              </w:rPr>
              <w:t xml:space="preserve">Фильтрующая центрифуга с пульсирующей выгрузкой</w:t>
            </w:r>
          </w:p>
          <w:p>
            <w:r>
              <w:rPr>
                <w:color w:val="555555"/>
                <w:sz w:val="14"/>
              </w:rPr>
              <w:t xml:space="preserve">Поз. по ИД: 4.1.28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0,80 т/ч; Q расч. 1,5 т/ч</w:t>
            </w:r>
          </w:p>
          <w:p>
            <w:r>
              <w:rPr>
                <w:i/>
                <w:color w:val="555555"/>
                <w:sz w:val="14"/>
              </w:rPr>
              <w:t xml:space="preserve">Промывка первичным раствором из бака поз. 4.1.22; фугат — на II ступень выпарки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1,9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Кристаллизация — общее оборудование ниток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  <w:p>
            <w:r>
              <w:rPr>
                <w:color w:val="333333"/>
                <w:sz w:val="15"/>
              </w:rPr>
              <w:t xml:space="preserve">Эжектор + конденсатор ПЭБ + вакуум-насос</w:t>
            </w:r>
          </w:p>
          <w:p>
            <w:r>
              <w:rPr>
                <w:color w:val="555555"/>
                <w:sz w:val="14"/>
              </w:rPr>
              <w:t xml:space="preserve">Поз. по ИД: поз. 6 рис. 4.4/4.5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Обеспечение вакуума в конденсаторе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Нитка 1: эжектор 0,27 т/ч, конденсатор D 0,5 м (32 м³/ч), вакуум-насос ВВН1-6; нитка 2: эжектор 0,16 т/ч, конденсатор D 0,5 м (18 м³/ч), вакуум-насос ВВН1-3</w:t>
            </w:r>
          </w:p>
          <w:p>
            <w:r>
              <w:rPr>
                <w:color w:val="666666"/>
                <w:sz w:val="13"/>
              </w:rPr>
              <w:t xml:space="preserve">Источник: ИД ч.2 рис. 4.4, 4.5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1 на нитку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Фасовка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Фасовка в биг-беги с ПЭ-вкладышем, пробоотбор, весовой учёт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Остаточная влажность купороса 4–6 %</w:t>
            </w:r>
          </w:p>
          <w:p>
            <w:r>
              <w:rPr>
                <w:color w:val="333333"/>
                <w:sz w:val="15"/>
              </w:rPr>
              <w:t xml:space="preserve">Ленточный транспортёр купороса; весовой дозатор коммерческого учёта; пробоотбор; фасовка в биг-беги с ПЭ-вкладышем</w:t>
            </w:r>
          </w:p>
          <w:p>
            <w:r>
              <w:rPr>
                <w:color w:val="666666"/>
                <w:sz w:val="13"/>
              </w:rPr>
              <w:t xml:space="preserve">Источник: ИД ч.2 рис. 4.5; ТЗ п. 4.4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17 (участков — 5)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3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17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17 из 17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15 из 17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3 из 17 позиций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Установленная мощность по позициям с единичным значением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≈63 кВт: Испаритель I ступени (выпарной аппарат) — 1 × 22 кВт; Пульсирующая (фильтрующая) центрифуга — 2 × 15 кВт; Испаритель I ступени — 1 × 11 кВт</w:t>
            </w:r>
          </w:p>
        </w:tc>
      </w:tr>
    </w:tbl>
    <w:p>
      <w:r>
        <w:rPr>
          <w:i/>
          <w:color w:val="555555"/>
          <w:sz w:val="18"/>
        </w:rPr>
        <w:t xml:space="preserve">Суммирование выполнено только по позициям, для которых задано одно значение мощности и целое количество единиц; позиции с диапазоном мощности и без данных в сумму не входят. Полная таблица электроприёмников лота сводится в документе по электроснабжению после получения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 пояснительной записки «Перечень основного и вспомогательного оборудования; опросные листы; монтаж».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ОВЭ75-БИ-Л2-ОЛ, ОВЭ75-БИ-Л2-ДЦ, ОВЭ75-БИ-Л2-МТ.</w:t>
      </w:r>
    </w:p>
    <w:p>
      <w:pPr>
        <w:pStyle w:val="Heading2"/>
      </w:pPr>
      <w:r>
        <w:rPr>
          <w:b/>
          <w:sz w:val="24"/>
        </w:rPr>
        <w:t xml:space="preserve">4.1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Испарители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Центрифуги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× 2,5 т/ч + 2 × 1,5 т/ч, пульсирующие, 1800 об/мин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Вакуумное хозяйство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рис. 4.4/4.5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Материал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разд. 4.2.1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Сборник маточника 1 с насосами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v4.1, перечень оборудования Лота №2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34233.1/34233.2-2017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Прочностные расчёты сосудов в составе ОЛ и техтребований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декларирование/сертификация комплектных машин (центрифуги, насосы)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Позиций со статусом «вне БИ» или «в наличии у Заказчика» в перечне лота нет: всё оборудование основной таблицы входит в объём поставки, определяемый Базовым инжинирингом.</w:t>
      </w:r>
    </w:p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«Интерфейсы с другими лотами, ЦЭН и общеплощадочными системами».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Вход из медного контура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фильтрат 42,2 тыс. м³/год; подводящий трубопровод — вне лота (v4.1)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 (границы); ТЗ п. 4.1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Из Лота №3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бедный электролит 3,2–3,5 м³/ч (26,6–29,1 тыс. м³/год) при отсечке 27,3 тыс. м³/год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3.1; ТЗ (данные Лота №3);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ЦЭН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маточник-2 1,8 тыс. м³/год: 55 т/год Ni, 720 т/год H₂SO₄; подогрев/разбавление 10–15 %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п. 1.4.2.2;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Из Лота №1/теплоцентра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пар 0,6 МПа 4,3–4,4 т/ч; возврат конденсата ≈3,0 т/ч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п. 1.3.13;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Кислая СОВ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568 м³/ч; на градирню ≈3,1–3,2 МВт; профицит 4,7 м³/ч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На NNH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6 658 т/год в биг-бегах (≈19 т/сут через склад)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3.1; расчёт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Смежное оборудование вне БИ (справочно)</w:t>
      </w:r>
    </w:p>
    <w:p>
      <w:r>
        <w:rPr>
          <w:sz w:val="20"/>
        </w:rPr>
        <w:t xml:space="preserve">Оборудование смежных участков гидрометаллургического передела, примыкающее к лоту по материальному потоку. В объём поставки лота не входит; параметры заданы ИД ч.2 табл. 4.1 и приводятся для увязки границ и проверки исходных требований смежникам.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300"/>
        <w:gridCol w:w="3200"/>
        <w:gridCol w:w="3200"/>
        <w:gridCol w:w="1100"/>
        <w:gridCol w:w="1900"/>
        <w:gridCol w:w="1580"/>
      </w:tblGrid>
      <w:tr>
        <w:trPr>
          <w:tblHeader/>
          <w:cantSplit/>
        </w:trPr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(поз. по ИД)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58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Намывные фильтры контрольной фильтрации</w:t>
            </w:r>
          </w:p>
          <w:p>
            <w:r>
              <w:rPr>
                <w:color w:val="555555"/>
                <w:sz w:val="14"/>
              </w:rPr>
              <w:t xml:space="preserve">Поз. по ИД: 4.1.20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i/>
                <w:color w:val="555555"/>
                <w:sz w:val="14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 (параллельная работа)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или аналог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S = 120 м²; факт. 360 м²; коэфф. запаса 1,2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2 позициям из 17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14 позициям из 17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