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Спецификация содержит перечень основного и вспомогательного технологического оборудования Лота №4 «Склад готовой продукции» в границах проектирования Базового инжиниринга с указанием назначения, определяющих технических характеристик, количества, материального исполнения, габаритов, массы, мощности электроприёмников и статуса поставки каждой позиции. Документ выполняет требование состава Базового инжиниринга «Спецификация основного и вспомогательного технологического оборудования с указанием технических характеристик, в том числе габаритных размеров, массы, энергопотребления» (ТЗ на БИ ред. 4.1; пункт состава D-18).</w:t>
      </w:r>
    </w:p>
    <w:p>
      <w:r>
        <w:rPr>
          <w:sz w:val="20"/>
        </w:rPr>
        <w:t xml:space="preserve">Позиции сгруппированы по участкам в порядке технологического процесса; номер позиции — порядковый в пределах лота. Для позиций, имеющих номер по технологической схеме исходных данных, этот номер приведён в графе наименования (поз. по ИД). Форма спецификации — по ГОСТ 21.110-2013 с дополнительными графами по ТЗ (габариты, масса, энергопотребление).</w:t>
      </w:r>
    </w:p>
    <w:p>
      <w:r>
        <w:rPr>
          <w:sz w:val="20"/>
        </w:rPr>
        <w:t xml:space="preserve">Значения граф взяты из исходных данных Заказчика (ИД ч.1, ИД ч.2), Технического задания (ред. 4.1 от 25.08.2026) и расчётной модели КВАНТ. Значения, добавленные из текстовых разделов исходных данных и пояснительной записки, приведены в графах с указанием источника; общее основание перечня — ниже, ключевые позиции и их источники — в разделе 4. Запись «по ТКП» в графах габаритов, массы и мощности означает, что характеристика в исходных данных не задана и уточняется по технико-коммерческому предложению изготовителя; знак «—» — характеристика в исходных данных не задана либо к позиции не применима.</w:t>
      </w:r>
    </w:p>
    <w:p>
      <w:r>
        <w:rPr>
          <w:color w:val="666666"/>
          <w:sz w:val="17"/>
        </w:rPr>
        <w:t xml:space="preserve">Источник: ТЗ на БИ ред. 4.1 — раздел Лота №4 (границы, требования к АСУ и АИС, Приложение №5); ИД ч.2 разд. 4.2.2 (крановое хозяйство ЦЭМ); расчётная модель КВАНТ (ёмкость буфера, число штабелёров, темп приёмки пакетов)</w:t>
      </w:r>
    </w:p>
    <w:p>
      <w:pPr>
        <w:pStyle w:val="Heading2"/>
      </w:pPr>
      <w:r>
        <w:rPr>
          <w:b/>
          <w:sz w:val="24"/>
        </w:rPr>
        <w:t xml:space="preserve">1.2 Границы лота и охват спецификации</w:t>
      </w:r>
    </w:p>
    <w:p>
      <w:r>
        <w:rPr>
          <w:sz w:val="20"/>
        </w:rPr>
        <w:t xml:space="preserve">От передаточных ворот из отделения электроэкстракции меди до ворот отгрузки готовой продукции железнодорожным транспортом и ворот отгрузки автотранспортом. Границы уточняются и согласовываются Исполнителем и Заказчиком при разработке БИ.</w:t>
      </w:r>
    </w:p>
    <w:p>
      <w:r>
        <w:rPr>
          <w:sz w:val="20"/>
        </w:rPr>
        <w:t xml:space="preserve">Участки лота по ТЗ: защитная упаковка медных катодов; маркировка и подготовка к транспортировке пакетов; коммерческий учёт и формирование партий; отгрузка в ж/д и автотранспорт.</w:t>
      </w:r>
    </w:p>
    <w:p>
      <w:r>
        <w:rPr>
          <w:sz w:val="20"/>
        </w:rPr>
        <w:t xml:space="preserve">Режим работы: согласуется при разработке БИ.</w:t>
      </w:r>
    </w:p>
    <w:p>
      <w:r>
        <w:rPr>
          <w:sz w:val="20"/>
        </w:rPr>
        <w:t xml:space="preserve">Границы проектирования (фланцевые и иные точки передачи потоков) приведены в пояснительной записке и на принципиальной технологической схеме лота; спецификация охватывает оборудование внутри этих границ. Оборудование смежных участков, не входящее в объём Базового инжиниринга, в основную таблицу не включено и приведено справочно в разделе 5 — для увязки границ и выдачи заданий на стыке.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ОВЭ75-БИ-Л4-ПЗ — Пояснительная записка</w:t>
      </w:r>
    </w:p>
    <w:p>
      <w:r>
        <w:rPr>
          <w:sz w:val="20"/>
        </w:rPr>
        <w:t xml:space="preserve">— ОВЭ75-БИ-Л4-PFD — Принципиальная технологическая схема (PFD)</w:t>
      </w:r>
    </w:p>
    <w:p>
      <w:r>
        <w:rPr>
          <w:sz w:val="20"/>
        </w:rPr>
        <w:t xml:space="preserve">— ОВЭ75-БИ-Л4-ОЛ — Опросные листы основного оборудования (альбом)</w:t>
      </w:r>
    </w:p>
    <w:p>
      <w:r>
        <w:rPr>
          <w:sz w:val="20"/>
        </w:rPr>
        <w:t xml:space="preserve">— ОВЭ75-БИ-Л4-МТ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ОВЭ75-БИ-Л4-ЭС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ОВЭ75-БИ-Л4-СТ — Стоимостной блок: порядок сбора ТКП и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1.3 Статусы поставки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Закуп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Серийное оборудование; поставляется комплектно изготовителем по результатам запроса технико-коммерческих предложений (не менее 2–3 ТКП на позицию — требование ТЗ).</w:t>
            </w:r>
          </w:p>
        </w:tc>
      </w:tr>
    </w:tbl>
    <w:p>
      <w:r>
        <w:rPr>
          <w:sz w:val="20"/>
        </w:rPr>
        <w:t xml:space="preserve">Позиций, изготавливаемых по документации Исполнителя, в перечне нет. Комплектно по ТКП изготовителей поставляются 5 позиций из 5.</w:t>
      </w:r>
    </w:p>
    <w:p>
      <w:pPr>
        <w:pStyle w:val="Heading1"/>
      </w:pPr>
      <w:r>
        <w:rPr>
          <w:b/>
          <w:sz w:val="28"/>
        </w:rPr>
        <w:t xml:space="preserve">2. Спецификация оборудования Лота №4</w:t>
      </w:r>
    </w:p>
    <w:p>
      <w:r>
        <w:rPr>
          <w:i/>
          <w:color w:val="555555"/>
          <w:sz w:val="18"/>
        </w:rPr>
        <w:t xml:space="preserve">Полужирным выделены ключевые позиции лота — основное оборудование, по которому выпускаются опросные листы и запрашиваются ТКП; перечень основного оборудования закрепляется протоколом с Заказчиком.</w:t>
      </w:r>
    </w:p>
    <w:p>
      <w:pPr>
        <w:pStyle w:val="Heading2"/>
      </w:pPr>
      <w:r>
        <w:rPr>
          <w:b/>
          <w:sz w:val="24"/>
        </w:rPr>
        <w:t xml:space="preserve">2.1 Упаковка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для защитной упаковки медных катодов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Защитная упаковка пакетов катодов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Исключить материалы, требующие особой сертификации или утилизации</w:t>
            </w:r>
          </w:p>
          <w:p>
            <w:r>
              <w:rPr>
                <w:color w:val="333333"/>
                <w:sz w:val="15"/>
              </w:rPr>
              <w:t xml:space="preserve">Узел контроля и дотяжки увязки пакета тремя коррозионностойкими лентами; пакет 2500 ± 50 кг</w:t>
            </w:r>
          </w:p>
          <w:p>
            <w:r>
              <w:rPr>
                <w:color w:val="666666"/>
                <w:sz w:val="13"/>
              </w:rPr>
              <w:t xml:space="preserve">Источник: ТЗ (требования сбытового блока); решение БИ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Маркировка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для маркировки и подготовки к транспортировке пакетов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Маркировка партий и подготовка к отгрузке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Аппликатор и принтеры этикеток (термопечать и лазерная печать); маркировка партий и пакетов</w:t>
            </w:r>
          </w:p>
          <w:p>
            <w:r>
              <w:rPr>
                <w:color w:val="666666"/>
                <w:sz w:val="13"/>
              </w:rPr>
              <w:t xml:space="preserve">Источник: решение БИ; Прил. №5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Учёт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Оборудование коммерческого учёта и формирования партий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Взвешивание, учёт, формирование отгрузочных партий с оформлением стандартизированной сопроводительной документации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Класс точности весового оборудования — «высокий» (Прил. №5); поставка с калибровочными грузами и ЗИП на 2 года</w:t>
            </w:r>
          </w:p>
          <w:p>
            <w:r>
              <w:rPr>
                <w:color w:val="333333"/>
                <w:sz w:val="15"/>
              </w:rPr>
              <w:t xml:space="preserve">Весы платформенные конвейерные НПВ 3 т — 2 шт. (приёмка, контроль комплектации); весы вагонные НПВ ≥ 100 т — 1 к-т; весы автомобильные — 1 к-т (НПВ по заданию сбыта); стенд сверловки проб с автоматизированным отбором — 1</w:t>
            </w:r>
          </w:p>
          <w:p>
            <w:r>
              <w:rPr>
                <w:color w:val="666666"/>
                <w:sz w:val="13"/>
              </w:rPr>
              <w:t xml:space="preserve">Источник: решение БИ; Прил. №5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2.4 Складирование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Приёмка пакетов с выходного конвейера КСМ, размещение по партиям, отгрузка — всё в автоматическом режиме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Алгоритм размещения стоп катодов автопогрузчиками-штабелёрами по размеченным линиям с памятью «что и где стоит»</w:t>
            </w:r>
          </w:p>
          <w:p>
            <w:r>
              <w:rPr>
                <w:color w:val="333333"/>
                <w:sz w:val="15"/>
              </w:rPr>
              <w:t xml:space="preserve">Конвейер приёмки пакетов 7 пакетов/ч, единичный груз 2,55 т — 1 к-т; автопогрузчики-штабелёры г/п 3,2–5 т, электрические, с системой позиционирования — 3 шт. (2 рабочих + 1 резервный); серверы системы управления складом с горячим резервированием — 2; ПЛК; ограждение автоматической зоны с калитками СКУД</w:t>
            </w:r>
          </w:p>
          <w:p>
            <w:r>
              <w:rPr>
                <w:color w:val="666666"/>
                <w:sz w:val="13"/>
              </w:rPr>
              <w:t xml:space="preserve">Источник: расчёт и решение БИ; Прил. №5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Штабелёры: полная масса 8–11 т</w:t>
            </w:r>
          </w:p>
          <w:p>
            <w:r>
              <w:rPr>
                <w:color w:val="666666"/>
                <w:sz w:val="13"/>
              </w:rPr>
              <w:t xml:space="preserve">Источник: решение БИ (по каталогам аналогов)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Зарядная станция штабелёров 2–3 поста × 10–20 кВт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2.5 Отгрузка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отгрузки партий в ж/д и автомобильный транспорт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Автоматическая отгрузка сформированных партий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Вариант А — мостовой кран с автоматической траверсой (Q ≥ 3,2 т с учётом траверсы) для полувагонов, приоритет — существующий кран ЦЭМ после модернизации; вариант Б — погрузка штабелёрами в крытые вагоны через рампу; пост автопогрузки с автомобильными весами на выезде</w:t>
            </w:r>
          </w:p>
          <w:p>
            <w:r>
              <w:rPr>
                <w:color w:val="666666"/>
                <w:sz w:val="13"/>
              </w:rPr>
              <w:t xml:space="preserve">Источник: решение БИ; ИД ч.2 разд. 4.2.2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Сводные показатели по лоту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Позиций в спецификации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5 (участков — 5)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Ключевые позиции (основное оборудование)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2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Распределение по статусам поставки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Закуп — 5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Количество задано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5 из 5 позиций; по остальным — уточняется на стадии ОТР и по ТКП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Габариты или масса заданы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 из 5 позиций; по остальным — по ТКП изготовителей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Мощность электроприёмников задана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 из 5 позиций</w:t>
            </w:r>
          </w:p>
        </w:tc>
      </w:tr>
    </w:tbl>
    <w:p>
      <w:r>
        <w:rPr>
          <w:i/>
          <w:color w:val="555555"/>
          <w:sz w:val="18"/>
        </w:rPr>
        <w:t xml:space="preserve">Единичных значений мощности, пригодных для суммирования, в исходных данных по позициям лота нет; таблица электроприёмников сводится в документе по электроснабжению по данным ТКП.</w:t>
      </w:r>
    </w:p>
    <w:p>
      <w:pPr>
        <w:pStyle w:val="Heading1"/>
      </w:pPr>
      <w:r>
        <w:rPr>
          <w:b/>
          <w:sz w:val="28"/>
        </w:rPr>
        <w:t xml:space="preserve">4. Пояснения к составу оборудования и источники данных</w:t>
      </w:r>
    </w:p>
    <w:p>
      <w:r>
        <w:rPr>
          <w:sz w:val="20"/>
        </w:rPr>
        <w:t xml:space="preserve">Основание — разделы пояснительной записки «Перечень основного и вспомогательного оборудования» и «Спецификация оборудования и опросные листы».</w:t>
      </w:r>
    </w:p>
    <w:p>
      <w:r>
        <w:rPr>
          <w:sz w:val="20"/>
        </w:rPr>
        <w:t xml:space="preserve">Состав по перечню оборудования Лота №4 в ТЗ на БИ (ред. 4.1) с раскрытием до позиций:</w:t>
      </w:r>
    </w:p>
    <w:p>
      <w:r>
        <w:rPr>
          <w:sz w:val="20"/>
        </w:rPr>
        <w:t xml:space="preserve">1) Конвейер приёмки пакетов (интерфейс с пакеторазгрузочным конвейером КСМ) — цепной/роликовый, 7 пакетов/ч, тяжёлая серия (2,55 т), с позициями взвешивания и разбраковки.</w:t>
      </w:r>
    </w:p>
    <w:p>
      <w:r>
        <w:rPr>
          <w:sz w:val="20"/>
        </w:rPr>
        <w:t xml:space="preserve">2) Весовое оборудование: платформенные конвейерные весы НПВ 3 т (2 шт. — приёмка и контроль комплектации), вагонные весы, автомобильные весы — класс точности «высокий», с поверочными грузами и ЗИП (Прил. №5).</w:t>
      </w:r>
    </w:p>
    <w:p>
      <w:r>
        <w:rPr>
          <w:sz w:val="20"/>
        </w:rPr>
        <w:t xml:space="preserve">3) Стенд сверловки проб катодов с автоматизированным отбором (по заданию АСУ) и возвратом листов.</w:t>
      </w:r>
    </w:p>
    <w:p>
      <w:r>
        <w:rPr>
          <w:sz w:val="20"/>
        </w:rPr>
        <w:t xml:space="preserve">4) Оборудование защитной упаковки и маркировки: узел контроля/дотяжки увязки (3 ленты), аппликатор/принтеры этикеток (термо Zebra + лазерный).</w:t>
      </w:r>
    </w:p>
    <w:p>
      <w:r>
        <w:rPr>
          <w:sz w:val="20"/>
        </w:rPr>
        <w:t xml:space="preserve">5) Автопогрузчики-штабелёры г/п 3,2–5 т — 3 шт. (2 рабочих + 1 резервный; расчёт: 84 приёмка + 84 отгрузка + ~30 % внутренних перемещений ≈ 220 циклов/сут × 4 мин / КИО 0,8 ≈ 18 ч машинного времени/сут), электрические (Li-ion), с терминалами Wi-Fi, сканерами и системой позиционирования; зарядная станция 2–3 поста.</w:t>
      </w:r>
    </w:p>
    <w:p>
      <w:r>
        <w:rPr>
          <w:sz w:val="20"/>
        </w:rPr>
        <w:t xml:space="preserve">6) Оборудование ж/д погрузки: вариант А — мостовой кран с автоматической траверсой (захват за профилированные листы) для полувагонов (использование существующего крана ЦЭМ после модернизации — приоритет, ИД разд. 4.2.2); вариант Б — погрузка штабелёрами в крытые вагоны через дверной проём с рампой.</w:t>
      </w:r>
    </w:p>
    <w:p>
      <w:r>
        <w:rPr>
          <w:sz w:val="20"/>
        </w:rPr>
        <w:t xml:space="preserve">7) Оборудование автоотгрузки: пост погрузки, направляющие/отбойники, автомобильные весы на выезде.</w:t>
      </w:r>
    </w:p>
    <w:p>
      <w:r>
        <w:rPr>
          <w:sz w:val="20"/>
        </w:rPr>
        <w:t xml:space="preserve">8) АСУ/АИС: ПЛК, серверы WMS (гор. резервирование), АРМ оператора, сеть, СПТ (видеонаблюдение зоны — по требованиям Прил. №5 к СПТ: SCADA «Интеллект», глубина архива ≥1,5 мес), ПГС-оповещение.</w:t>
      </w:r>
    </w:p>
    <w:p>
      <w:r>
        <w:rPr>
          <w:sz w:val="20"/>
        </w:rPr>
        <w:t xml:space="preserve">9) Ограждение автоматической зоны, калитки СКУД, светозвуковая сигнализация.</w:t>
      </w:r>
    </w:p>
    <w:p>
      <w:pPr>
        <w:pStyle w:val="Heading2"/>
      </w:pPr>
      <w:r>
        <w:rPr>
          <w:b/>
          <w:sz w:val="24"/>
        </w:rPr>
        <w:t xml:space="preserve">4.1 Данные для спецификации из раздела о спецификации и опросных листах</w:t>
      </w:r>
    </w:p>
    <w:p>
      <w:r>
        <w:rPr>
          <w:sz w:val="20"/>
        </w:rPr>
        <w:t xml:space="preserve">По ТЗ v4.1 в состав БИ входят: спецификация основного и вспомогательного технологического оборудования с техническими характеристиками (габариты, масса, энергопотребление) и комплект опросных листов на основное оборудование. Форма спецификации БИ: позиция, наименование, количество, определяющая характеристика, габариты/масса/мощность (на БИ — по каталогам аналогов с пометкой «предварительно», финально — по ТКП), статус (закупка по ТКП / нестандартизированное изготовление).</w:t>
      </w:r>
    </w:p>
    <w:p>
      <w:r>
        <w:rPr>
          <w:sz w:val="20"/>
        </w:rPr>
        <w:t xml:space="preserve">ФИКСИРУЕМЫЕ НА БИ ХАРАКТЕРИСТИКИ (сводно из разделов ПЗ): конвейер приёмки — 7 пакетов/ч, единичный груз 2,55 т, тяжёлая серия — 1 к-т; весы платформенные конвейерные НПВ 3 т, класс «высокий» — 2 шт.; весы вагонные НПВ ≥100 т — 1 к-т; весы автомобильные — 1 к-т (НПВ по заданию сбыта); штабелёры г/п 3,2–5 т, Li-ion, терминалы Wi-Fi, сканеры, система позиционирования — 3 шт. (2+1), полная масса 8–11 т; кран мостовой с автоматической траверсой Q ≥3,2 т с учётом траверсы (вариант полувагонов); сверловочный стенд проб — 1; узел контроля/дотяжки увязки (3 ленты) — 1; принтеры этикеток термо (Zebra) + лазерный — по Прил. №5; зарядная станция 2–3 поста × 10–20 кВт; серверы WMS с горячим резервированием — 2; ПЛК REGUL RX00/АБАК; КТС СПТ (видеонаблюдение, глубина архива ≥1,5 мес — Прил. №5); ограждение автоматической зоны с калитками СКУД. Укрупнённый объём сигналов АСУ лота — 200–300 физических I/O с запасом 30 % (сводный расчёт БИ; основа выбора ПЛК и станций в/в).</w:t>
      </w:r>
    </w:p>
    <w:p>
      <w:r>
        <w:rPr>
          <w:sz w:val="20"/>
        </w:rPr>
        <w:t xml:space="preserve">НЕСТАНДАРТИЗИРОВАННОЕ ОБОРУДОВАНИЕ: автоматическая траверса (захват за профилированные листы — конфигурация по интерфейсу Лота №3) и конвейер приёмки — задания на проектирование и изготовление с техническими требованиями; эскизный чертёж траверсы — в составе БИ (решение БИ по практике состава Лота №1).</w:t>
      </w:r>
    </w:p>
    <w:p>
      <w:r>
        <w:rPr>
          <w:sz w:val="20"/>
        </w:rPr>
        <w:t xml:space="preserve">Габариты, массы и энергопотребление единиц оборудования на БИ не назначаются произвольно: до получения ТКП в графах спецификации проставляется «по ТКП», итоговая редакция — после сбора бюджетных ТКП по основному оборудованию (v4.1).</w:t>
      </w:r>
    </w:p>
    <w:p>
      <w:r>
        <w:rPr>
          <w:i/>
          <w:color w:val="555555"/>
          <w:sz w:val="18"/>
        </w:rPr>
        <w:t xml:space="preserve">Опросные листы, требования к монтажу и исходные требования на оборудование длительного цикла изготовления в настоящем документе не повторяются — см. ОВЭ75-БИ-Л4-ОЛ, ОВЭ75-БИ-Л4-МТ.</w:t>
      </w:r>
    </w:p>
    <w:p>
      <w:pPr>
        <w:pStyle w:val="Heading2"/>
      </w:pPr>
      <w:r>
        <w:rPr>
          <w:b/>
          <w:sz w:val="24"/>
        </w:rPr>
        <w:t xml:space="preserve">4.2 Определяющие позиции и источники значений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Штабелёры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расчёт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Весы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Платформенные НПВ 3 т (2), вагонные, автомобильные — класс «высокий»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Ж/д погрузка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Кран с траверсой (полувагоны) / штабелёры (крытые вагоны) — оба варианта в БИ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БИ; ИД разд. 4.2.2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Статус позиций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Всё оборудование — закуп по ТКП; нестандарт — траверса и конвейер приёмки (задания на изготовление)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оценка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Объём спецификации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≈14 групп позиций; характеристики-определители зафиксированы, габариты/массы — по ТКП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БИ; ТЗ v4.1 (состав БИ)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Сигналы АСУ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200–300 физических I/O с запасом 30 % — основа выбора ПЛК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сводный расчёт БИ (I/O по лотам); Прил. №5 (запас ≥30 %)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Нестандарт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Траверса и конвейер приёмки — задания на изготовление + эскизный чертёж траверсы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Опросные листы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8 комплектов на основное оборудование, с гарантиями производительности/точности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БИ; ТЗ v4.1 (состав БИ)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Нормативные документы, определяющие требования к оборудованию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10080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ФНП по ПС (приказ Ростехнадзора от 26.11.2020 № 461)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Мостовой кран и съёмные грузозахватные приспособления (траверса) — проектирование, освидетельствование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Безопасность машин и оборудования — штабелёры, конвейеры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12.3.020-80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Процессы перемещения грузов на предприятиях — общие требования безопасности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Климатическое исполнение: УХЛ4 для оборудования в отапливаемом корпусе; исполнение у ворот/фронтов — уточнить в ОЛ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Оборудование вне БИ и на границах лота</w:t>
      </w:r>
    </w:p>
    <w:p>
      <w:pPr>
        <w:pStyle w:val="Heading2"/>
      </w:pPr>
      <w:r>
        <w:rPr>
          <w:b/>
          <w:sz w:val="24"/>
        </w:rPr>
        <w:t xml:space="preserve">5.1 Позиции лота на границе объёма поставки</w:t>
      </w:r>
    </w:p>
    <w:p>
      <w:r>
        <w:rPr>
          <w:sz w:val="20"/>
        </w:rPr>
        <w:t xml:space="preserve">Позиций со статусом «вне БИ» или «в наличии у Заказчика» в перечне лота нет: всё оборудование основной таблицы входит в объём поставки, определяемый Базовым инжинирингом.</w:t>
      </w:r>
    </w:p>
    <w:p>
      <w:pPr>
        <w:pStyle w:val="Heading2"/>
      </w:pPr>
      <w:r>
        <w:rPr>
          <w:b/>
          <w:sz w:val="24"/>
        </w:rPr>
        <w:t xml:space="preserve">5.2 Данные на границах лота (задания на стыке)</w:t>
      </w:r>
    </w:p>
    <w:p>
      <w:r>
        <w:rPr>
          <w:sz w:val="20"/>
        </w:rPr>
        <w:t xml:space="preserve">Сводка по разделу пояснительной записки «Межлотовые интерфейсы и исходные требования смежным разделам».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Стык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на границе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Граница Лот №3/№4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Передаточные ворота — границы обоих лотов совпадают, разрыва ответственности нет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v4.1: границы Лота №3 и п. 7.2 (Лот №4)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Конвейер до СГП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Поставка Лота №3 («автоматизированная транспортировка пакетов… в помещение СГП»)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v4.1, перечень оборудования Лота №3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«Перфорация» пакета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Профилирование листов КСМ увязывается с грузозахватами СГП (встречное согласование)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v4.1, требования к КСМ (Лот №3)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Задание смежникам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Нагрузки 49,1–88,3 кПа, 100–200 кВт, +5…+10/+18 °C, категория Д, фронты — комплектом на корпус ~32 тыс. м³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расчёт/решение БИ (сводка разделов)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6. Открытые позиции</w:t>
      </w:r>
    </w:p>
    <w:p>
      <w:r>
        <w:rPr>
          <w:sz w:val="20"/>
        </w:rPr>
        <w:t xml:space="preserve">Перечень вопросов, определяемых на стадии Базового инжиниринга и по результатам запроса ТКП; до их закрытия соответствующие графы спецификации носят предварительный характер.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Грузоподъёмность и состояние существующего крана ЦЭМ в пролёте СГП — обследование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Модели штабелёров и системы навигации — по ТКП (2–3 поставщика)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Конструкция траверсы — после фиксации профиля «перфорации» пакета (интерфейс Лот №3)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«основного оборудования» для опросных листов и бюджетных ТКП — зафиксировать протоколом (граница объёма)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Габариты/массы/энергопотребление позиций — заполнить по ТКП (2–3 поставщика на основное оборудование)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 и масса по 4 позициям из 5 (в исходных данных не заданы) — по ТКП изготовителей; массы самых тяжёлых неразъёмных частей — в требованиях к монтажу.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Установленная мощность электроприёмников по 4 позициям из 5 — по ТКП; сводная таблица электроприёмников — в документе по электроснабжению.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спецификации (характеристики, габариты, массы, энергопотребление по всем позициям) — после получения бюджетных ТКП не менее чем от 2–3 изготовителей на каждую позицию основного оборудования.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