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2026-08-15. К ТЗ на БИ v3.6 и ИД ч.1/ч.2.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Вердикты: ok — сходится (≤1,5 %), warn — в допуске модели, question — методологический вопрос Гипроникелю. Расчёты подлежат рецензии инженера перед включением в БИ.</w:t>
      </w:r>
    </w:p>
    <w:p>
      <w:r>
        <w:rPr>
          <w:b/>
          <w:sz w:val="21"/>
        </w:rPr>
        <w:t xml:space="preserve">Итого: блоков 19, сверок 36 (сходится 29, в допуске 2, вопросов 5), находок для Гипроникеля 10.</w:t>
      </w:r>
    </w:p>
    <w:p/>
    <w:p>
      <w:pPr>
        <w:pStyle w:val="Heading1"/>
      </w:pPr>
      <w:r>
        <w:rPr>
          <w:b/>
          <w:sz w:val="28"/>
        </w:rPr>
        <w:t xml:space="preserve">1. Находки — вопросы к ИД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 занижено в ИД: неучтённые потребители дают ≈ +50 %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ТЭП завышается. Учесть в расчёте нагрузок (D-ТУ)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Выход по току в ИД явно не указан — запросить (мы приняли 92 %)</w:t>
      </w:r>
    </w:p>
    <w:p>
      <w:r>
        <w:rPr>
          <w:sz w:val="20"/>
        </w:rPr>
        <w:t xml:space="preserve">Все электрохимические цифры ИД самосогласованы при η ≈ 92 %.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«75 000 т/год» не обеспечены заявленным сырьём: доступно ~70,3 тыс. т (дефицит 6,3 %)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8. [ВАЖНО] Кислотная точка росы газов ≈221/209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9. [уточнить] Запросить габарит печи КС (табл. 24/25 ИД) — наша оценка: под 47,7–59,7 м², Ø 7,8–8,7 м</w:t>
      </w:r>
    </w:p>
    <w:p>
      <w:r>
        <w:rPr>
          <w:sz w:val="20"/>
        </w:rPr>
        <w:t xml:space="preserve">Нужен для верификации напряжённости пода, скорости газа в свободном сечении (унос 19/29 %) и компоновки Цеха обжига.</w:t>
      </w:r>
    </w:p>
    <w:p>
      <w:r>
        <w:rPr>
          <w:b/>
          <w:sz w:val="21"/>
        </w:rPr>
        <w:t xml:space="preserve">10.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2900"/>
        <w:gridCol w:w="2900"/>
        <w:gridCol w:w="12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  <w:tc>
          <w:tcPr>
            <w:tcW w:w="1238" w:type="dxa"/>
            <w:shd w:val="clear" w:fill="EFEFEF"/>
          </w:tcPr>
          <w:p>
            <w:r>
              <w:rPr>
                <w:b/>
                <w:sz w:val="19"/>
              </w:rPr>
              <w:t xml:space="preserve">Базис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X-CU; разделить мощность и выпуск (F-CAP)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качество катода не может гарантироваться безусловно при чужом сырье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1 942 кВт·ч/т (расчёт при η=92 %)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+5,5 % на старение анодов, рост КЗ, зимний режим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≈92 % (самосогласование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F-ETA: значение в ИД не зафиксировано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граница самого ТЗ; запас ×2 к расчёту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гарантии изготовителя ЭФ ≥96 %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перенос финальной гарантии на vendor data (D-09)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диапазон 9–16 % по режимам; стабильность ±1,5 % абс. за 15 мин — контуром АСУ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СКЦ важнее стабильность, чем абсолют; гарантия при составе шихты по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F-HEAT: тепловой эффект под вопросом (наша оценка +20 %)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+11/9 % на пусковые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F-O2: базис нормы не подтверждён (+7,5 % запас)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точка росы 221/209 °C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L1-DEW / F-DEW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F-KUPOROS: базис 25,7 % не подтверждён — гарантируем достижимое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F-CL: хлор на пределе для 316L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запас на первый год освоения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7,6 млн кВт·ч/год с досчётом (ИД: 4,95)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7,6 млн кВт·ч/год; в ТУ — среднюю 1,0 МВт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F-EL1: воздуходувка/вакуум/аспирация не нормированы в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Прил. №5 и Методика ЕТТ — их же требования, фиксируем как гарантию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(F-HEAT)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(F-EL1)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≈7.7 млн кВт·ч (+56 %).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принято 92 % (типовой диапазон ЭЭ меди 88–94 %) [допущение КВАНТ — в ИД явно не приведён]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0,92) = 41 087 А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41 087 / (84 × 2 × 1,0 м²) = 245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0,92 = 2,12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МВт; ток из мощности: 41 089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→ 77,7 тыс,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77,7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+0,86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самосогласована: ток ванны ≈41 087 А (плотность 245 А/м² номинал), напряжение 2.12 В, мощность выпрямления ≈15.7 МВт (два независимых пути сходятся в 0,1 %). Запас до 280 А/м² подтверждает 76,7 тыс. т/год. Выход по току 92 % — наше допущение, у Гипроникеля запросить принятое значение.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8 413 ч = 68 756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68 756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 (D-ТУ, позиция E-04).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ДИ (позиция A-10 вкладки «Состав БИ»).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потери ГМЦ 0,10 % и оборотная незавершёнка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221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209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166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166,4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+10,92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221 °C (осн.) — в номинале тракт сухой, но конденсация начнётся на любой стенке холоднее ≈221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слой, под, напряжённость (санити-проверка габарита)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Время пребывания: 9 ч при 930 °C («обжиг намертво») [ИД разд. 2.3] · Огарок номинал: 10,34 т/ч [ИД табл. 22/23 (пересчёт)] · Плотность псевдоожиженного слоя: ≈1,3 т/м³ (вспученное состояние) [оценка КВАНТ (Class 5)]</w:t>
      </w:r>
    </w:p>
    <w:p>
      <w:r>
        <w:rPr>
          <w:b/>
          <w:sz w:val="20"/>
        </w:rPr>
        <w:t xml:space="preserve">Масса слоя:  </w:t>
      </w:r>
      <w:r>
        <w:rPr>
          <w:sz w:val="20"/>
        </w:rPr>
        <w:t xml:space="preserve">10,34 × 9 = 93,1 т</w:t>
      </w:r>
    </w:p>
    <w:p>
      <w:r>
        <w:rPr>
          <w:b/>
          <w:sz w:val="20"/>
        </w:rPr>
        <w:t xml:space="preserve">Объём слоя:  </w:t>
      </w:r>
      <w:r>
        <w:rPr>
          <w:sz w:val="20"/>
        </w:rPr>
        <w:t xml:space="preserve">71,6 м³; под при высоте 1,2–1,5 м: 47,7–59,7 м² (Ø 7,8–8,7 м)</w:t>
      </w:r>
    </w:p>
    <w:p>
      <w:r>
        <w:rPr>
          <w:b/>
          <w:sz w:val="20"/>
        </w:rPr>
        <w:t xml:space="preserve">Напряжённость пода:  </w:t>
      </w:r>
      <w:r>
        <w:rPr>
          <w:sz w:val="20"/>
        </w:rPr>
        <w:t xml:space="preserve">324 т/сут ÷ под = 5,4–6,8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пода, т/(м²·сут) — габарит печи из ИД (табл. 24/25) у нас отсутствует — запросить для верификации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</w:tbl>
    <w:p>
      <w:r>
        <w:rPr>
          <w:b/>
        </w:rPr>
        <w:t xml:space="preserve">Вывод: </w:t>
      </w:r>
      <w:r>
        <w:t xml:space="preserve">Оценка даёт под ≈47,7–59,7 м² (Ø 7,8–8,7 м) и напряжённость 5,4–6,8 т/(м²·сут) — в мировом диапазоне. Для точной верификации запросить габарит печи из ИД (в нашем пакете таблицы 24/25 нет) — иначе проверка вписываемости печи в здание Цеха обжига остаётся оценочной.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Под печи: 53,7 м² (середина оценки L1-BED) [расчёт L1-BED]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Рабочая скорость в слое:  </w:t>
      </w:r>
      <w:r>
        <w:rPr>
          <w:sz w:val="20"/>
        </w:rPr>
        <w:t xml:space="preserve">0,24 (ном,) / 0,28 (макс,)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u/u_mf — спокойный кипящий слой, режим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-12,34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+18,32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Слой работает при u/u_mf ≈ 1.8 — типовой спокойный режим КС. Крупный огарок (u_t ≈ 6 м/с) слой не покидает, свежий концентрат 25,5 мкм (u_t ≈ 0.04 м/с) выносится газом до укрупнения — это физическое объяснение пылевыноса 19 % (осн.) и его роста до 29 % во вспомогательном варианте (выше скорость газа). Зона сепарации над слоем и возврат пыли циклона — обязательные элементы; точную карту слоя даст CFD (кейс подготовлен).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