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28.08.2026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12,69 %,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Итого расходной части баланса (огарок + пыли + потери + сера и хлор в газовой фазе) 123 883 т превышает загрузку на ~16 % — это **усвоенный кислород дутья**, связанный в оксиды (CuO, NiO, Fe₃O₄) и сульфаты (собственно твёрдые продукты — 102 573 т, на 4,0 % МЕНЬШЕ загрузки);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12,69 %,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2,03 кг/ч макс. (номинал 1,77 кг/ч — согласовано с годовыми «пыль в СКЦ 14 т» этого же баланса; значение ИД табл. 23 «1,319 кг/ч» — вероятный копипаст строки пыли КУ, вопрос Гипроникелю задан); объём газа нарастает подсосами 12 129 → 12 673 → 13 066 → 13 262 нм³/ч; запылённость падает 241,5 → 127,1 → 32,6 → 0,15 г/нм³ (заявленные ИД 0,1 г/нм³ отвечают только сомнительному уносу 1,32 кг/ч). (5) Охлаждение-отгрузка: тракт огарка 14,396 т/ч (макс. расчётный: 99 142/7 920 × 1,15 = сумма компонентных максимумов; в ИД табл. 23 поз. 432 — 14,346, внутренняя невязка ИД 0,35 % с годовыми табл. 22)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≈7,7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≈69,7 Cu; ≈0,43 S (балансовый расчёт КВАНТ по распределению 80,35/19,18 %; заявленные в ИД табл. 23 п.477 72,67 Cu / 0,445 S физически несовместимы с приходом меди 71 264 т/год — вопрос Гипроникелю);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≈69,7 % Cu / ≈0,43 % S (баланс КВАНТ; значения ИД табл. 23 п.477 72,67/0,445 несовместимы с приходом меди — вопрос Гипроникелю),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lot1 pz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