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28.08.2026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баланса меди ≈0,06 т/год (&lt;0,01 % входа).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560–816 кг/ч (интервальное произведение независимых границ; сопряжённые пары расход/концентрация ИД табл. 5.6 дали бы 646–708).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≈0,06 т/год (&lt;0,01 %)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Ду 350–400 мм; нитка 2 (139 м³/ч): ≈0,20 м → Ду 200–250 мм; ПЭБ (32 и 18 м³/ч): Ду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Ду 350–400; н.2 — Ду 200–250; ПЭБ — Ду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Ду 50, 904L;
— маточник-1 в нитку 2: 1,42 м³/ч → Ду 25–32, 904L, c обогревом (бак 4.1.5);
— контур циркуляции нитки 1: 633 м³/ч → d = √(4×0,176/(π×2,4)) = 0,31 м → Ду 300–350, 904L; нитки 2: 251 м³/ч → 0,20 м → Ду 200, 904L;
— соковый пар (объёмные потоки по табл. 4.1 ИД): I ст. н.1 49 417 м³/ч → d = √(4×13,73/(π×50)) = 0,59 м → Ду 600; II ст. н.1 23 032 м³/ч → 0,40 м → Ду 400; I ст. н.2 17 647 м³/ч → 0,35 м → Ду 350; II ст. н.2 5 530 м³/ч → 0,20 м → Ду 200; исполнение 904L (влажный кислый пар с уносом капель);
— глухой пар 0,6 МПа (v″ = 0,316 м³/кг): н.1 2,1 т/ч = 663 м³/ч → d = √(4×0,184/(π×35)) = 0,082 м → Ду 80–100; н.2 0,9 т/ч → Ду 65; рабочий пар эжекторов/ПЭБ: н.1 1,02 т/ч → Ду 50, н.2 0,34 т/ч → Ду 32–40 — сталь по ГОСТ 32569;
— конденсат глухого пара: 3,0 т/ч → Ду 32–40;
— кислая СОВ: конденсатор н.1 380 м³/ч → d = √(4×0,106/(π×1,8)) = 0,27 м → Ду 300 (подача и возврат); н.2 138 м³/ч → Ду 150–200; конденсаторы ПЭБ 32/18 м³/ч → Ду 80–100/65 — кислотостойкое исполнение (до 0,5 г/л H₂SO₄, ИД п. 2.5); барометрические трубы — см. раздел «Вакуумная система» (Ду 350–400 / 200–250 / 100–125);
— маточник-2 в ЦЭН: 0,22 м³/ч — Ду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Ду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Ду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lot2 pz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