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ОВЭ75-RFQ-18</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Специальные автоматические краны, 2 шт..</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Автопозиционирование по графику выгрузки; съём/установка колпаков; выгрузка 1/3 матриц с выдержкой на стекание; нерж. 316L; ИК-датчики контроля КЗ в ваннах.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OVE75-RFQ-18</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Special automatic tankhouse cranes (2 off).</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ОВЭ75-RFQ-18 / To RFQ No. OVE75-RFQ-18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Специальные автоматические краны, 2 шт.</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Автопозиционирование по графику выгрузки; съём/установка колпаков; выгрузка 1/3 матриц с выдержкой на стекание; нерж. 316L; ИК-датчики контроля КЗ в ваннах</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Референс именно в электролизном цехе меди в автоматическом режиме; коррозионностойкое исполнение под кислые аэрозоли</w:t>
            </w:r>
          </w:p>
        </w:tc>
      </w:tr>
    </w:tbl>
    <w:p>
      <w:r>
        <w:rPr>
          <w:b/>
          <w:sz w:val="20"/>
        </w:rPr>
        <w:t xml:space="preserve">Состав позиции по перечню оборудования — Equipment covered by this request:</w:t>
      </w:r>
    </w:p>
    <w:p>
      <w:r>
        <w:rPr>
          <w:b/>
          <w:sz w:val="21"/>
        </w:rPr>
        <w:t xml:space="preserve">1. Специальные автоматические краны с системой позиционирования</w:t>
      </w:r>
      <w:r>
        <w:rPr>
          <w:color w:val="888888"/>
          <w:sz w:val="16"/>
        </w:rPr>
        <w:t xml:space="preserve">   Подъёмно-транспортное</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Съём/установка колпаков, выгрузка катодов (1/3 ванны с равномерным шагом), транспортировка в КСМ и обратно, пошаговая установка матриц; ручной режим — замена анодов и чистка ванн от шлама</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График выгрузки формируется в зависимости от плана-задания и токовой нагрузки; комплектуются бороной и поддоном для сбора проливов; рекомендуется система ИК-датчиков контроля контактного хозяйства и КЗ в ваннах</w:t>
            </w:r>
          </w:p>
        </w:tc>
      </w:tr>
      <w:tr>
        <w:tc>
          <w:tcPr>
            <w:tcW w:w="3038" w:type="dxa"/>
            <w:shd w:val="clear" w:fill="EFEFEF"/>
          </w:tcPr>
          <w:p>
            <w:r>
              <w:rPr>
                <w:b/>
                <w:sz w:val="18"/>
              </w:rPr>
              <w:t xml:space="preserve">Количество — Quantity</w:t>
            </w:r>
          </w:p>
        </w:tc>
        <w:tc>
          <w:tcPr>
            <w:tcW w:w="6600" w:type="dxa"/>
          </w:tcPr>
          <w:p>
            <w:r>
              <w:rPr>
                <w:sz w:val="18"/>
              </w:rPr>
              <w:t xml:space="preserve">2 (по одному на серию/пролёт)</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Металлические элементы и оснастка — нерж. сталь 316L или аналог</w:t>
            </w:r>
          </w:p>
        </w:tc>
      </w:tr>
      <w:tr>
        <w:tc>
          <w:tcPr>
            <w:tcW w:w="3038" w:type="dxa"/>
            <w:shd w:val="clear" w:fill="EFEFEF"/>
          </w:tcPr>
          <w:p>
            <w:r>
              <w:rPr>
                <w:b/>
                <w:sz w:val="18"/>
              </w:rPr>
              <w:t xml:space="preserve">Дополнительные требования — Additional requirements</w:t>
            </w:r>
          </w:p>
        </w:tc>
        <w:tc>
          <w:tcPr>
            <w:tcW w:w="6600" w:type="dxa"/>
          </w:tcPr>
          <w:p>
            <w:r>
              <w:rPr>
                <w:sz w:val="18"/>
              </w:rPr>
              <w:t xml:space="preserve">Рекомендуется использовать существующее подъёмно-транспортное оборудование ЦЭМ после модернизации (при необходимости)</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18 crane</dc:title>
  <dc:creator>ООО «КВАНТ»</dc:creator>
  <cp:lastModifiedBy>ООО «КВАНТ»</cp:lastModifiedBy>
  <dcterms:created xsi:type="dcterms:W3CDTF">2026-08-28T09:00:00Z</dcterms:created>
  <dcterms:modified xsi:type="dcterms:W3CDTF">2026-08-28T09:00:00Z</dcterms:modified>
</cp:coreProperties>
</file>