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40"/>
        </w:rPr>
        <w:t xml:space="preserve">ОВЭ-75 · Реестр расхождений конкурсной документации</w:t>
      </w:r>
    </w:p>
    <w:p>
      <w:r>
        <w:rPr>
          <w:b/>
          <w:sz w:val="40"/>
        </w:rPr>
        <w:t xml:space="preserve">и вопросов Заказчику</w:t>
      </w:r>
    </w:p>
    <w:p>
      <w:r>
        <w:rPr>
          <w:sz w:val="22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Базовый инжиниринг</w:t>
      </w:r>
    </w:p>
    <w:p>
      <w:r>
        <w:rPr>
          <w:color w:val="666666"/>
          <w:sz w:val="20"/>
        </w:rPr>
        <w:t xml:space="preserve">Основание: ТЗ на БИ v4.1 от 25.08.2026, ТЗ на ЦИМ ред.2 и приложения; реестр сверен с новой редакцией (снятые позиции помечены, новые расхождения v4.1 — C-94…C-101; адреса цитат в исторических позициях — по v3.6). Составлено 27.08.2026. Каждая позиция — две дословные цитаты из документов Заказчика; все цитаты проверены программно на дословное вхождение в исходники.</w:t>
      </w:r>
    </w:p>
    <w:p>
      <w:r>
        <w:rPr>
          <w:sz w:val="20"/>
        </w:rPr>
        <w:t xml:space="preserve">Как работать с документом: пройти позиции с Заказчиком, зафиксировать по каждой, какая редакция верна (или иное решение), в строке «Решение Заказчика». Живая версия реестра с теми же номерами — на сайте проекта, вкладка «Расхождения ТЗ»; решения, внесённые там, попадают в общую базу и в следующую редакцию этого документа.</w:t>
      </w:r>
    </w:p>
    <w:p>
      <w:r>
        <w:rPr>
          <w:b/>
        </w:rPr>
        <w:t xml:space="preserve">Сводка: </w:t>
      </w:r>
      <w:r>
        <w:t xml:space="preserve">расхождений 101 — блокирующих 7, существенных 39, формальных 55; решено 0. Плюс 11 общих вопросов без парных цитат.</w:t>
      </w:r>
    </w:p>
    <w:p>
      <w:pPr>
        <w:pStyle w:val="Heading1"/>
      </w:pPr>
      <w:r>
        <w:t xml:space="preserve">1. Блокирующие расхождения (7)</w:t>
      </w:r>
    </w:p>
    <w:p>
      <w:r>
        <w:rPr>
          <w:color w:val="666666"/>
          <w:sz w:val="20"/>
        </w:rPr>
        <w:t xml:space="preserve">Без ответа Заказчика на эти пункты нельзя ни проектировать, ни корректно оценить стоимость.</w:t>
      </w:r>
    </w:p>
    <w:p>
      <w:pPr>
        <w:pStyle w:val="Heading2"/>
      </w:pPr>
      <w:r>
        <w:rPr>
          <w:b/>
        </w:rPr>
        <w:t xml:space="preserve">C-01. </w:t>
      </w:r>
      <w:r>
        <w:rPr>
          <w:b/>
        </w:rPr>
        <w:t xml:space="preserve">Давление под сводом печи КС: избыточное или разрежение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23 п.229 — задаёт под сводом печи +50…100 Па, то есть избыточное давление»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на БИ v3.6, п. 3.5 — требует контроль и поддержание разрежения под сводом печи»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взаимоисключающие требования к одному контуру регулирования. От знака зависит конструкция уплотнений, схема аспирации, выбор дымососа и вся логика ПАЗ. Спроектировать «на всякий случай под оба» нельзя.</w:t>
      </w:r>
    </w:p>
    <w:p>
      <w:r>
        <w:rPr>
          <w:b/>
        </w:rPr>
        <w:t xml:space="preserve">Вопрос Заказчику: </w:t>
      </w:r>
      <w:r>
        <w:t xml:space="preserve">Какое значение принимается за проектное: избыточное давление +50…100 Па по ИД или разрежение по ТЗ? Если разрежение — просим указать величину.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C-02. </w:t>
      </w:r>
      <w:r>
        <w:rPr>
          <w:b/>
        </w:rPr>
        <w:t xml:space="preserve">Масса пакета катодов: 1400–2000 кг или 2500 ± 50 кг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4.2.2, описание КСМ поставки Outotec — «Пакеты формируются весом от 1400 до 2000 кг»»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там же — «По требованию сбытового блока пакеты катодов массой 2500 ± 50 кг должны быть увязаны тремя металлическими лентами»»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Два требования в одном документе. Масса пакета определяет выбор укладчика КСМ, грузозахваты склада готовой продукции, нагрузку на пол и всю схему отгрузки Лота №4.</w:t>
      </w:r>
    </w:p>
    <w:p>
      <w:r>
        <w:rPr>
          <w:b/>
        </w:rPr>
        <w:t xml:space="preserve">Вопрос Заказчику: </w:t>
      </w:r>
      <w:r>
        <w:t xml:space="preserve">Какая масса пакета принимается за проектную? Требование сбытового блока 2500 ± 50 кг считать обязательным?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C-11. </w:t>
      </w:r>
      <w:r>
        <w:rPr>
          <w:b/>
        </w:rPr>
        <w:t xml:space="preserve">Один сухой электрофильтр (ТЗ) против двух (ИД ч.1)</w:t>
      </w:r>
    </w:p>
    <w:p>
      <w:r>
        <w:rPr>
          <w:color w:val="666666"/>
          <w:sz w:val="20"/>
        </w:rPr>
        <w:t xml:space="preserve">Лот №1 · Цех обжига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«должна быть предусмотрена одна технологическая линия обжига-газоочистки (одна печь КС, один котел-утилизатор, один одиночный циклон, один сухой электрофильтр) с запасом производительности не менее 15%»</w:t>
            </w:r>
          </w:p>
          <w:p>
            <w:r>
              <w:rPr>
                <w:color w:val="666666"/>
                <w:sz w:val="18"/>
              </w:rPr>
              <w:t xml:space="preserve">ТЗ, п. 3.4 (после перечня оборудования Лота №1), строка 186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«Используется два электрофильтра, один из которых в работе, а второй в резерве»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закладывают 2 электрофильтра (табл. 23 поз. 331 «2 (один в резерве)», табл. 24Б — количество 2; дымососов тоже 2), а ТЗ прямо требует один сухой электрофильтр в составе одной линии. Разное количество дорогостоящего аппарата — разный состав и стоимость комплектной поставки Лота №1, разная компоновка газового тракта.</w:t>
      </w:r>
    </w:p>
    <w:p>
      <w:r>
        <w:rPr>
          <w:b/>
        </w:rPr>
        <w:t xml:space="preserve">Вопрос Заказчику: </w:t>
      </w:r>
      <w:r>
        <w:t xml:space="preserve">Сколько электрофильтров закладывать в БИ Лота №1 — один по ТЗ или два (рабочий + резервный) по ИД ч.1?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C-38. </w:t>
      </w:r>
      <w:r>
        <w:rPr>
          <w:b/>
        </w:rPr>
        <w:t xml:space="preserve">Количество и компоновка электролизных ванн: 140 (4 ряда по 35) в Прил. В против 180 (2 серии по 90) в тексте ИД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«Электроэкстракция меди происходит в полимербетонных ваннах (4 ряда, 140 шт.)… Ванны расположены в четыре параллельных ряда по 35 ячеек в ряду.»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1230 (также «Количество ванн ¦ шт. ¦ 140», строка 1294; «Ванна промежуточная - 132 шт.;Ванна концевая левая - 4 шт.;Ванна концевая правая - 4 шт.», строка 1326)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«Устанавливается 180 ванн в две серии по 90 шт. в каждой серии.»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466 (также «общее количество ванн составит 180 шт. (две серии по 90 шт.)», строка 533)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(разд. 4.2.2, стр. 532) заявляет, что характеристики ванн «приняты по данным проекта ДЕЛЬТА (приложение В) и согласованы с Заказчиком», но Прил. В описывает отделение на 140 ванн в 4 ряда по 35 с расходами на входе 1165/1340 м3/ч (строки 1286-1287), а текст ИД — 180 ванн в 2 серии по 90 с потоком 1600-1650 м3/ч (строка 397). Нумерация ванн 24200-EW-0101…0240 (строка 1233) тоже под 140 шт.</w:t>
      </w:r>
    </w:p>
    <w:p>
      <w:r>
        <w:rPr>
          <w:b/>
        </w:rPr>
        <w:t xml:space="preserve">Вопрос Заказчику: </w:t>
      </w:r>
      <w:r>
        <w:t xml:space="preserve">Подтвердить расчётную конфигурацию (180 ванн, 2 серии) и переиздать Прил. В под неё, либо явно ограничить применимость Прил. В габаритами единичной ванны.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C-39. </w:t>
      </w:r>
      <w:r>
        <w:rPr>
          <w:b/>
        </w:rPr>
        <w:t xml:space="preserve">Прил. В (ванны) выпущено под комплекс 50 000 т/год, ИД и ТЗ — 75 000 т/год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«…Строительство комплекса «Обжиг – выщелачивание – электроэкстракция производительностью 50 000 т катодной меди в год».»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1 «Общая часть», строка 1223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«Строительство комплекса «Обжиг-выщелачивание-электроэкстракция» производительностью 75 000 т катодной меди в год», шифр проекта: КГМК.ОВЭ-75»</w:t>
            </w:r>
          </w:p>
          <w:p>
            <w:r>
              <w:rPr>
                <w:color w:val="666666"/>
                <w:sz w:val="18"/>
              </w:rPr>
              <w:t xml:space="preserve">ИД ч.2, титульный лист, строка 8 (то же в ТЗ, строка 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Обязательное приложение к ИД (исходные требования на ванны) составлено в рамках другого проекта — на 50 тыс. т/год; отсюда 140 ванн, расходы 1165 м3/ч и прочие несостыковки с ИД на 75 тыс. т.</w:t>
      </w:r>
    </w:p>
    <w:p>
      <w:r>
        <w:rPr>
          <w:b/>
        </w:rPr>
        <w:t xml:space="preserve">Вопрос Заказчику: </w:t>
      </w:r>
      <w:r>
        <w:t xml:space="preserve">Запросить у Дельты/выпустить редакцию исходных требований под ОВЭ-75 или зафиксировать протоколом, какие параметры Прил. В остаются в силе.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C-40. </w:t>
      </w:r>
      <w:r>
        <w:rPr>
          <w:b/>
        </w:rPr>
        <w:t xml:space="preserve">ТЗ (Лот 3): потоки оборотного электролита перепутаны — «на усреднение» указан поток отсечки, циркуляция занижена в ~12 раз</w:t>
      </w:r>
    </w:p>
    <w:p>
      <w:r>
        <w:rPr>
          <w:color w:val="666666"/>
          <w:sz w:val="20"/>
        </w:rPr>
        <w:t xml:space="preserve">Лот №3 · Электроэкстракция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«Основная часть отходящего из ванн оборотного раствора возвращается на усреднение с богатым фильтратом контрольной фильтрации в количестве 1038 тыс. м3/год, а меньшая часть оборотного раствора в количестве 27,3 тыс. м3/год отсекается на выщелачивание огарка и растворение кристаллов медного купороса.»</w:t>
            </w:r>
          </w:p>
          <w:p>
            <w:r>
              <w:rPr>
                <w:color w:val="666666"/>
                <w:sz w:val="18"/>
              </w:rPr>
              <w:t xml:space="preserve">ТЗ v3.6, п. 5.1, строка 314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раствора из ванн ¦ 1600-1650 ¦ м3/ч; Поток раствора на выщелачивание ¦ 125-130 ¦ м3/ч; Поток бедного электролита ванн на растворение ¦ 3,2-3,5 ¦ м3/ч»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 и «Растворение медного купороса», строки 384, 386, 377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ИД из ванн выходит 1600-1650 м3/ч (≈13,3-13,7 млн м3/год), из них на усреднение возвращается ~1475-1520 м3/ч; 1038 тыс. м3/год (≈125 м3/ч) — это на самом деле поток отсечки на выщелачивание (125-130 м3/ч), а 27,3 тыс. м3/год (3,3 м3/ч) — только поток на растворение купороса (3,2-3,5 м3/ч = 26,6-29,1 тыс. м3/год). Подписи потоков в ТЗ сдвинуты на одну позицию.</w:t>
      </w:r>
    </w:p>
    <w:p>
      <w:r>
        <w:rPr>
          <w:b/>
        </w:rPr>
        <w:t xml:space="preserve">Вопрос Заказчику: </w:t>
      </w:r>
      <w:r>
        <w:t xml:space="preserve">Исправить п. 5.1 ТЗ: возврат на усреднение ~12,3-12,7 млн м3/год; отсечка на выщелачивание ~1040-1080 тыс. м3/год; на растворение ~27 тыс. м3/год.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C-74. </w:t>
      </w:r>
      <w:r>
        <w:rPr>
          <w:b/>
        </w:rPr>
        <w:t xml:space="preserve">Объём ЦИМ для этапа БИ: основное ТЗ покупает «модель оборудования/передела», пакет ЦИМ описывает проектную ЦИМ стадий П и Р</w:t>
      </w:r>
    </w:p>
    <w:p>
      <w:r>
        <w:rPr>
          <w:color w:val="666666"/>
          <w:sz w:val="20"/>
        </w:rPr>
        <w:t xml:space="preserve">общий / стык · важность: блокирующие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 этапе выполнения БИ, разработать и предоставить Заказчику модель технологического оборудования/технологического передела в соответствии с требованиями Приложения №4»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стр.425 (Прочие условия)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«Проектная ЦИМ (стадия П) ¦ Разработка проектной ЦИМ стадии ПФормирование из ЦИМ проектной документации. ¦ Приложение 6,Приложение 2»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стр.83 (табл.2 «Этапы разработки ЦИМ» — единственная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называет Прил.4 «требования к выполнению ЦИМ на этапе БИ» (стр.431) и требует от Исполнителя БИ только модель технологического оборудования/передела. Само же ТЗ на ЦИМ единственным этапом объявляет Проектную ЦИМ стадии П с формированием из неё проектной документации, а его Прил.6 озаглавлено «Требования к Проектной ЦИМ стадий П и Р» (стр.1) и требует выпуск ПД/РД из ЦИМ, координацию с АР/КР, привязку к топосъёмке и БСВ — это объём генпроектировщика стадий П/Р, а не исполнителя БИ (этап до ОТР и ПД). Участник конкурса не может определить состав, LOD/LOI и трудоёмкость ЦИМ, которые обязан заложить в цену.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выпущено ТЗ на ЦИМ ред.2: единственная цель — «Разработка ЦИМ стадии „базовый инжиниринг“» с проверкой коллизий, состав ЦИМ «определяется Исполнителем исходя из необходимости и достаточности», детализация — новое Прил.1 LOD/LOI (стадия БИ: листы ТХ и ЭОМ/СС/АК)</w:t>
      </w:r>
    </w:p>
    <w:p>
      <w:r>
        <w:rPr>
          <w:b/>
        </w:rPr>
        <w:t xml:space="preserve">Вопрос Заказчику: </w:t>
      </w:r>
      <w:r>
        <w:t xml:space="preserve">Зафиксировать отдельно объём ЦИМ именно для этапа БИ (модель оборудования/передела: разделы, LOD/LOI, форматы, сроки) и прямо указать, какие требования ТЗ на ЦИМ и Прил.6 на БИ не распространяются.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2. Существенные расхождения (39)</w:t>
      </w:r>
    </w:p>
    <w:p>
      <w:r>
        <w:rPr>
          <w:color w:val="666666"/>
          <w:sz w:val="20"/>
        </w:rPr>
        <w:t xml:space="preserve">Влияют на проектные решения, состав поставки и стоимость.</w:t>
      </w:r>
    </w:p>
    <w:p>
      <w:pPr>
        <w:pStyle w:val="Heading2"/>
      </w:pPr>
      <w:r>
        <w:rPr>
          <w:b/>
        </w:rPr>
        <w:t xml:space="preserve">C-03. </w:t>
      </w:r>
      <w:r>
        <w:rPr>
          <w:b/>
        </w:rPr>
        <w:t xml:space="preserve">Целевая мощность: 75 000 т или 69 250 т катодной меди в год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«ТЗ и название проекта — комплекс производительностью 75 000 т катодной меди в год»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сводные балансы разд. 8–9 — годовой выпуск по балансу около 69,25 тыс. т; удельные нормы расхода нормированы на 69 245 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около 8 %. Номинал 75 тыс. т достижим при плотности тока 280 А/м² на всех 180 ваннах, что даёт около 76,7 тыс. т, но фактическая плотность в ИД — 252,7 А/м². От ответа зависит, на какую цифру мы даём технологические гарантии.</w:t>
      </w:r>
    </w:p>
    <w:p>
      <w:r>
        <w:rPr>
          <w:b/>
        </w:rPr>
        <w:t xml:space="preserve">Вопрос Заказчику: </w:t>
      </w:r>
      <w:r>
        <w:t xml:space="preserve">Какая величина является целевой для технологических гарантий Исполнителя БИ: 75 000 т по ТЗ или расчётные 69 250 т по балансам ИД?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C-04. </w:t>
      </w:r>
      <w:r>
        <w:rPr>
          <w:b/>
        </w:rPr>
        <w:t xml:space="preserve">Антиаэрозольная добавка FC-1100 снята с производства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табл. 8.5 и 9.5 — расход FC-1100 13 849 кг/год; приложение А — сертификат соответствия»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«Производитель 3М прекратил выпуск линейки; продукт недоступен к закупке»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Позиция заложена в нормы расхода и в баланс, но купить её нельзя. Аналоги (Eagles 1100, NF-100 и др.) отличаются по расходу и поведению в электролите.</w:t>
      </w:r>
    </w:p>
    <w:p>
      <w:r>
        <w:rPr>
          <w:b/>
        </w:rPr>
        <w:t xml:space="preserve">Вопрос Заказчику: </w:t>
      </w:r>
      <w:r>
        <w:t xml:space="preserve">Согласовывает ли Заказчик замену FC-1100 на аналог? Требуются ли сравнительные испытания аналога до включения в проект?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C-05. </w:t>
      </w:r>
      <w:r>
        <w:rPr>
          <w:b/>
        </w:rPr>
        <w:t xml:space="preserve">Барометрические конденсаторы не размещаются в существующем здании ГМУ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4.1.4 — барометрические конденсаторы под разрежением 0,075 атм; потребная высота барометрического стояка около 10,5 м плюс корпус конденсатора 2,0–2,5 м»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№7 (ФМ.01648-АР1 л.5, КО л.2) — верх крановых рельсов +10,0…+10,5, низ ферм оценочно +12,4…+12,9»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гидрозатворе на отметке 0,000 верх конденсатора выходит на +13,2…+13,7 — выше низа ферм и габарита кранов. Размещается при заглублении гидрозатворов в приямок 2,0–2,5 м, но здание на свайных ростверках и приямки требуют подтверждения обследованием.</w:t>
      </w:r>
    </w:p>
    <w:p>
      <w:r>
        <w:rPr>
          <w:b/>
        </w:rPr>
        <w:t xml:space="preserve">Вопрос Заказчику: </w:t>
      </w:r>
      <w:r>
        <w:t xml:space="preserve">Допускается ли устройство приямков глубиной 2,0–2,5 м в существующем здании ГМУ? Предоставляются ли данные по свайному основанию, или обследование входит в объём Исполнителя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C-08. </w:t>
      </w:r>
      <w:r>
        <w:rPr>
          <w:b/>
        </w:rPr>
        <w:t xml:space="preserve">Материальное исполнение гидрометаллургии: Hastelloy G-35 или 904L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4.2.1 — для каскада выщелачивания поз. 4.1.10–4.1.15, репульпатора 4.1.21, фильтров 4.1.20 и теплообменника 4.1.17 требуется Hastelloy G-35 (Haynes Int.) или аналог»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«взамен Hastelloy G-35 возможно использование стали 904L»»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допускает оба варианта, но разница в цене кратная: G-35 дороже 316L примерно в 10–25 раз, 904L — в 2–3 раза. Это крупнейший единичный фактор стоимости гидрометаллургии, и он влияет на сопоставимость всех ТКП.</w:t>
      </w:r>
    </w:p>
    <w:p>
      <w:r>
        <w:rPr>
          <w:b/>
        </w:rPr>
        <w:t xml:space="preserve">Вопрос Заказчику: </w:t>
      </w:r>
      <w:r>
        <w:t xml:space="preserve">Какое исполнение принимать базовым для оценки стоимости и запроса ТКП: Hastelloy G-35 или 904L? Требуется ли обоснование выбора расчётом коррозионной стойкости?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C-09. </w:t>
      </w:r>
      <w:r>
        <w:rPr>
          <w:b/>
        </w:rPr>
        <w:t xml:space="preserve">Статус Приложения В (ванны электролизные) для участников конкурса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ч.2, разд. 4.2.2 — «характеристики электролизных ванн приняты по данным проекта ДЕЛЬТА (приложение В) и согласованы с Заказчиком»; разд. 3 — «габариты и конструкция элементов ванны по проекту Дельта»»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разд. 4.2.2 — «Предусматривается комплектация отделения полимербетонными ваннами Unicell или аналогами»; в самом Приложении В ширина, высота, толщина стенки и масса помечены «уточняется поставщиком оборудования»»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Неясно, является ли конструкция Приложения В обязательной к применению или задаёт функциональные требования, под которые допускается аналог. От этого зависит объём работ и состав запрашиваемых ТКП по ключевой позиции Лота №3.</w:t>
      </w:r>
    </w:p>
    <w:p>
      <w:r>
        <w:rPr>
          <w:b/>
        </w:rPr>
        <w:t xml:space="preserve">Вопрос Заказчику: </w:t>
      </w:r>
      <w:r>
        <w:t xml:space="preserve">Является ли конструкция ванн по Приложению В обязательной? Если допускается аналог — каков порядок подтверждения эквивалентности и объём испытаний? Просим выдать всем участникам аппаратурно-технологическую схему D202415-24000-210-282-0001.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C-10. </w:t>
      </w:r>
      <w:r>
        <w:rPr>
          <w:b/>
        </w:rPr>
        <w:t xml:space="preserve">Какой вариант дутья принимается базовым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введение — основной вариант: обжиг на воздушно-кислородном дутье с повышенным содержанием O₂»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 — вспомогательный вариант: обжиг на подогретом дутье смешением с топочными газами от мазута»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ИД разработаны в двух вариантах и оба сохранены как рабочие. Варианты дают разный расход кислорода и мазута, разный объём газов, разный габарит газоочистки и разную компоновку. Считать оба в полном объёме — двойной объём работ.</w:t>
      </w:r>
    </w:p>
    <w:p>
      <w:r>
        <w:rPr>
          <w:b/>
        </w:rPr>
        <w:t xml:space="preserve">Вопрос Заказчику: </w:t>
      </w:r>
      <w:r>
        <w:t xml:space="preserve">Какой вариант принимается базовым для компоновки, спецификаций и оценки стоимости? Достаточно ли для второго варианта оценочной проработки?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C-12. </w:t>
      </w:r>
      <w:r>
        <w:rPr>
          <w:b/>
        </w:rPr>
        <w:t xml:space="preserve">Фонд времени участка фильтрации: 7920 ч (ТЗ) против 8322 ч (ИД табл. 23)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ТЗ, п. 3.4, строка 185 файла (участок фильтрации входит в Цех обжига — ТЗ, п. 2.8.3, строка 80)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поз. 1, строка 479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ТЗ участок фильтрации медного концентрата входит в Цех обжига (Лот №1) с режимом 7920 ч/год, а ИД считают сгущение и фильтрацию на 8322 ч/год (9,0 т/ч концентрата, поз. 2), тогда как обжиг — на 7920 ч (табл. 23 поз. 90). От фонда времени напрямую зависят производительность и площадь барабанных вакуум-фильтров Лота №1.</w:t>
      </w:r>
    </w:p>
    <w:p>
      <w:r>
        <w:rPr>
          <w:b/>
        </w:rPr>
        <w:t xml:space="preserve">Вопрос Заказчику: </w:t>
      </w:r>
      <w:r>
        <w:t xml:space="preserve">На какой годовой фонд времени рассчитывать фильтрацию медного концентрата в Лоте №1 — 7920 ч (режим Цеха обжига по ТЗ) или 8322 ч (табл. 23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C-13. </w:t>
      </w:r>
      <w:r>
        <w:rPr>
          <w:b/>
        </w:rPr>
        <w:t xml:space="preserve">Расчётное сопротивление циклона 2231,9 Па превышает его же предел «не более 2000 Па»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«309 ¦ Гидравлическое сопротивление циклона, не более ¦ Па ¦ 2000»</w:t>
            </w:r>
          </w:p>
          <w:p>
            <w:r>
              <w:rPr>
                <w:color w:val="666666"/>
                <w:sz w:val="18"/>
              </w:rPr>
              <w:t xml:space="preserve">ИД ч.1, табл. 23, поз. 309, строка 991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«319 ¦ Гидравлическое сопротивление циклона (расчет) ¦ Па ¦ 868,4 ¦ 2231,9»</w:t>
            </w:r>
          </w:p>
          <w:p>
            <w:r>
              <w:rPr>
                <w:color w:val="666666"/>
                <w:sz w:val="18"/>
              </w:rPr>
              <w:t xml:space="preserve">ИД ч.1, табл. 23, поз. 319 (второй столбец — вспомогательный вариант), строка 1010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выбранного циклона СЦН-50-1800×1УП паспортное ограничение — не более 2000 Па, а собственный расчёт ИД по вспомогательному варианту даёт 2231,9 Па. Аппарат не проходит по своему же ограничению; под вопросом выбор типоразмера циклона и напор дымососа.</w:t>
      </w:r>
    </w:p>
    <w:p>
      <w:r>
        <w:rPr>
          <w:b/>
        </w:rPr>
        <w:t xml:space="preserve">Вопрос Заказчику: </w:t>
      </w:r>
      <w:r>
        <w:t xml:space="preserve">Подтвердите допустимость работы циклона СЦН-50-1800×1УП при расчётном сопротивлении 2231,9 Па (вспомогательный вариант) при паспортном пределе 2000 Па, либо уточните типоразмер.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C-14. </w:t>
      </w:r>
      <w:r>
        <w:rPr>
          <w:b/>
        </w:rPr>
        <w:t xml:space="preserve">Степень очистки электрофильтра «не менее 96 %» не обеспечивает заявленные 100 мг/нм3 на выходе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«Количество собираемой пыли в электрофильтрах составляет 0,4-0,5 т/час при степени пылеочистки газа не менее 96 %»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«Очищенный газ с температурой 385-3900С, остаточной запыленностью не более 100 мг/нм3»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входной запылённости 20-35 г/нм3 (строка 454) очистка на 96 % даёт на выходе 0,8-1,4 г/нм3, а не ≤0,1 г/нм3. Чтобы выдать 100 мг/нм3, нужна эффективность 99,69 % (табл. 23 поз. 372 так и считает: 99,688 %). Гарантийный показатель для газа в СКЦ и требования к электрофильтру в опросных листах зависят от того, какая цифра верна.</w:t>
      </w:r>
    </w:p>
    <w:p>
      <w:r>
        <w:rPr>
          <w:b/>
        </w:rPr>
        <w:t xml:space="preserve">Вопрос Заказчику: </w:t>
      </w:r>
      <w:r>
        <w:t xml:space="preserve">Какая степень очистки закладывается в требования к электрофильтру: паспортная «не менее 96 %» или 99,69 %, необходимая для 100 мг/нм3 на входе в СКЦ?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C-15. </w:t>
      </w:r>
      <w:r>
        <w:rPr>
          <w:b/>
        </w:rPr>
        <w:t xml:space="preserve">Давление технического кислорода: 400-800 кПа против 0,8-1,2 МПа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«Кислород поступает с давлением 400-800 кПа»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25»</w:t>
            </w:r>
          </w:p>
          <w:p>
            <w:r>
              <w:rPr>
                <w:color w:val="666666"/>
                <w:sz w:val="18"/>
              </w:rPr>
              <w:t xml:space="preserve">ИД ч.1, табл. 26 (столбец «давление, МПа»), строка 1567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кислород на дутьё в п. 1.3.1 подаётся при 400-800 кПа, а в нормах расхода табл. 26 — при 0,8-1,2 МПа (800-1200 кПа): диапазоны почти не пересекаются. От давления зависят ТУ на подключение, трубопроводы и арматура кислородной линии в границе 3.3.8 ТЗ.</w:t>
      </w:r>
    </w:p>
    <w:p>
      <w:r>
        <w:rPr>
          <w:b/>
        </w:rPr>
        <w:t xml:space="preserve">Вопрос Заказчику: </w:t>
      </w:r>
      <w:r>
        <w:t xml:space="preserve">Какое давление технического кислорода на границе проектирования принимать: 400-800 кПа (п. 1.3.1 ИД ч.1) или 0,8-1,2 МПа (табл. 26 ИД ч.1)?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C-16. </w:t>
      </w:r>
      <w:r>
        <w:rPr>
          <w:b/>
        </w:rPr>
        <w:t xml:space="preserve">Кислород по ГОСТ 93±3 % против расчётных «не менее 96 %»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«Содержание кислорода в газе, получаемом на кислородных станциях, согласно ГОСТ 5583-78 (ИСО 2046-73) – 93±3 %»</w:t>
            </w:r>
          </w:p>
          <w:p>
            <w:r>
              <w:rPr>
                <w:color w:val="666666"/>
                <w:sz w:val="18"/>
              </w:rPr>
              <w:t xml:space="preserve">ИД ч.1, п. 1.3.1, строка 325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«Степень обогащения дутья техническим (не менее 96 %) кислородом»</w:t>
            </w:r>
          </w:p>
          <w:p>
            <w:r>
              <w:rPr>
                <w:color w:val="666666"/>
                <w:sz w:val="18"/>
              </w:rPr>
              <w:t xml:space="preserve">ИД ч.1, п. 1.3.3, строка 329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Гарантированный диапазон поставки кислорода 90-96 %, а тепловой баланс печи КС и состав дутья (52 % O2) рассчитаны на «не менее 96 %» — верхнюю границу диапазона. При реальных 90-93 % расчётные режимы обжига не обеспечиваются. Дополнительно проверить актуальность ссылки на ГОСТ 5583-78: значение 93±3 % его маркам технического кислорода не соответствует (без веб-проверки — проверить актуальность).</w:t>
      </w:r>
    </w:p>
    <w:p>
      <w:r>
        <w:rPr>
          <w:b/>
        </w:rPr>
        <w:t xml:space="preserve">Вопрос Заказчику: </w:t>
      </w:r>
      <w:r>
        <w:t xml:space="preserve">Какая гарантированная концентрация кислорода на границе проектирования: 93±3 % по условиям кислородной станции или не менее 96 %, принятые в расчётах печи КС?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C-17. </w:t>
      </w:r>
      <w:r>
        <w:rPr>
          <w:b/>
        </w:rPr>
        <w:t xml:space="preserve">Бункер оборотных материалов: один на 50 м3 против двух (огарок 50 м3 + пыль 20 м3)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«Концентрат – 60, кек – 20,цементная медь -10, оборотных материалов – 50 м3.»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«Приемные бункера», строка 1332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«Приемный бункер оборотной пыли ¦ 4 ¦ 1 ¦ 20 ¦ 0»</w:t>
            </w:r>
          </w:p>
          <w:p>
            <w:r>
              <w:rPr>
                <w:color w:val="666666"/>
                <w:sz w:val="18"/>
              </w:rPr>
              <w:t xml:space="preserve">ИД ч.1, табл. 25, строка 1442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п. 2.2 (строка 410), табл. 23 (поз. 146-147) и табл. 24Б дают один общий бункер оборотных материалов 50 м3 с одним питателем и дозатором, а табл. 25 — два отдельных бункера (оборотного огарка 50 м3, строка 1439, и оборотной пыли 20 м3) с двумя питателями и двумя дозаторами. Разный состав оборудования и компоновка узла шихтовки Лота №1.</w:t>
      </w:r>
    </w:p>
    <w:p>
      <w:r>
        <w:rPr>
          <w:b/>
        </w:rPr>
        <w:t xml:space="preserve">Вопрос Заказчику: </w:t>
      </w:r>
      <w:r>
        <w:t xml:space="preserve">Сколько бункеров оборотных материалов закладывать: один общий 50 м3 (табл. 23/24Б) или два раздельных 50 м3 + 20 м3 (табл. 25)?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C-18. </w:t>
      </w:r>
      <w:r>
        <w:rPr>
          <w:b/>
        </w:rPr>
        <w:t xml:space="preserve">Силосная башня огарка 100 м3 не вмещает заявленный суточный запас</w:t>
      </w:r>
    </w:p>
    <w:p>
      <w:r>
        <w:rPr>
          <w:color w:val="666666"/>
          <w:sz w:val="20"/>
        </w:rPr>
        <w:t xml:space="preserve">Лот №1 · Цех обжига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«Объем для обеспечения непрерывной работы в течение суток ¦ 100 м3»</w:t>
            </w:r>
          </w:p>
          <w:p>
            <w:r>
              <w:rPr>
                <w:color w:val="666666"/>
                <w:sz w:val="18"/>
              </w:rPr>
              <w:t xml:space="preserve">ИД ч.1, табл. 24Б, строка «Приемный бункер охлажденного огарка и грубой пыли», строка 1347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«432 ¦ Общее количество материала на охлаждение ¦ т/ч ¦ 14,346 ¦ 14,3805»</w:t>
            </w:r>
          </w:p>
          <w:p>
            <w:r>
              <w:rPr>
                <w:color w:val="666666"/>
                <w:sz w:val="18"/>
              </w:rPr>
              <w:t xml:space="preserve">ИД ч.1, табл. 23, поз. 432, строка 1209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Поток огарка и грубой пыли 14,35 т/ч даёт 344 т/сутки, а башня 100 м3 при плотности ~2000 кг/м3 вмещает лишь ~221 т (табл. 25, строка 1465) — около 15 часов, а не сутки. Либо объём башни, либо формулировка «в течение суток» неверны; влияет на габарит закупаемой башни и логистику цементовозов.</w:t>
      </w:r>
    </w:p>
    <w:p>
      <w:r>
        <w:rPr>
          <w:b/>
        </w:rPr>
        <w:t xml:space="preserve">Вопрос Заказчику: </w:t>
      </w:r>
      <w:r>
        <w:t xml:space="preserve">Подтвердите требуемый запас приёмной башни огарка и грубой пыли: сутки работы (тогда нужно ~160-170 м3) или фактические ~15 часов при 100 м3?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C-41. </w:t>
      </w:r>
      <w:r>
        <w:rPr>
          <w:b/>
        </w:rPr>
        <w:t xml:space="preserve">Состав электролита: Прил. В задаёт Ni 16, Fe max 2, Co 1,2 г/л против расчётных Ni 20, Fe 2,6, Co 1,6 в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«Никель ¦ г/л ¦ 16; Железо ¦ г/л ¦ 2; Максимальное содержание железа ¦ г/л ¦ 2; Кобальт ¦ г/л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5.1.2 и 5.2.1, строки 1270-1271, 1276-1277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Ni ¦ 20,0; Fe ¦ 2,6; Co ¦ 1,6 … лидирующей примесью в медном электролите сохраняется никель, предельное расчетное содержание которого составляет 20 г/л»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427-429; разд. 2.1, строка 233 (то же в ТЗ, строка 313: «35 Cu, 20 Ni, 1,6 Co, 2,6 Fe, 120 H2SO4»)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Рабочие концентрации ИД/ТЗ (Fe 2,6; Co 1,6; Ni 20) превышают «максимальные» значения, заложенные в исходные требования на ванны (Fe 2,0; Co 1,2; Ni 16). Коррозионная среда и плотность электролита для конструирования ванн занижены.</w:t>
      </w:r>
    </w:p>
    <w:p>
      <w:r>
        <w:rPr>
          <w:b/>
        </w:rPr>
        <w:t xml:space="preserve">Вопрос Заказчику: </w:t>
      </w:r>
      <w:r>
        <w:t xml:space="preserve">Передать Дельте/поставщику единый расчётный состав (Ni 20, Fe 2,6-3,0, Co 1,6) и переутвердить требования.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C-42. </w:t>
      </w:r>
      <w:r>
        <w:rPr>
          <w:b/>
        </w:rPr>
        <w:t xml:space="preserve">Напряжение на ванне: 2,17/2,71 В (Прил. В) против 2,05/2,5 В (ИД)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электролизере (номинальное) ¦ В ¦ 2,17; Напряжение на электролизере (проектное) ¦ В ¦ 2,71»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1317-1318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«Напряжение на ванне номинальное ¦ 2,05 ¦ В; Напряжение на ванне максимальное ¦ 2,5 ¦ В»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418-419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Расхождение ~6-8% меняет расчёт выпрямителей и удельный расход электроэнергии (в ИД принят 1940 кВт·ч/т, строка 420, и 134484 тыс. кВт·ч/год в табл. 8.5/9.5).</w:t>
      </w:r>
    </w:p>
    <w:p>
      <w:r>
        <w:rPr>
          <w:b/>
        </w:rPr>
        <w:t xml:space="preserve">Вопрос Заказчику: </w:t>
      </w:r>
      <w:r>
        <w:t xml:space="preserve">Согласовать номинальное и максимальное напряжение (с учётом падения в ошиновке 0,06 В по Прил. В, строка 1319).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C-43. </w:t>
      </w:r>
      <w:r>
        <w:rPr>
          <w:b/>
        </w:rPr>
        <w:t xml:space="preserve">Прил. В внутри себя: поток электролита на ванну 0,5 м3/мин (=30 м3/ч) против удельного расхода 8,32 м3/ч на ванну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электролита на ванну ¦ м3/мин ¦ 0,5»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«Удельный расход ¦ м3/ч/ванна ¦ 8,32»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1301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0,5 м3/мин = 30 м3/ч — в 3,6 раза больше 8,32 м3/ч/ванна; 8,32 согласуется с 1165 м3/ч на 140 ванн (строка 1286), а в ИД удельный ≈9,0 (1600-1650 м3/ч на 180 ванн). Патрубки/коллектор ванны считаются от этой цифры.</w:t>
      </w:r>
    </w:p>
    <w:p>
      <w:r>
        <w:rPr>
          <w:b/>
        </w:rPr>
        <w:t xml:space="preserve">Вопрос Заказчику: </w:t>
      </w:r>
      <w:r>
        <w:t xml:space="preserve">Указать в требованиях один расчётный поток на ванну (и привести его к конфигурации 180 ванн).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C-44. </w:t>
      </w:r>
      <w:r>
        <w:rPr>
          <w:b/>
        </w:rPr>
        <w:t xml:space="preserve">Температура I ступени выпарки медного купороса: 65-75 °С в табл. 3.1 против 40 °С в описании схемы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«Выпарной аппарат I стадии… Температура ¦ 65-75 ¦ 0С; Давление ¦ 0,06-0,08 ¦ атм.»</w:t>
            </w:r>
          </w:p>
          <w:p>
            <w:r>
              <w:rPr>
                <w:color w:val="666666"/>
                <w:sz w:val="18"/>
              </w:rPr>
              <w:t xml:space="preserve">ИД ч.2, табл. 3.1 «а, б получение медного купороса», строки 269, 277-278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 аппарате первой ступени поддерживается на уровне 400С, в аппарате второй ступени 200С.»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медного купороса), строка 478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аппарата два значения: 65-75 °С и 40 °С. 40 °С физически согласуется с давлением 0,06-0,08 атм (кипение воды ~39-42 °С) и с описанием смешанного передела (40/20 °С, строки 453, 497); 65-75 °С совпадает с температурой растворения купороса (строка 373). От температуры зависит поверхность теплообменника поз.1 (63 м2, строка 486) — ключевой параметр Лота 2.</w:t>
      </w:r>
    </w:p>
    <w:p>
      <w:r>
        <w:rPr>
          <w:b/>
        </w:rPr>
        <w:t xml:space="preserve">Вопрос Заказчику: </w:t>
      </w:r>
      <w:r>
        <w:t xml:space="preserve">Зафиксировать расчётную температуру I ступени (и объяснить, к чему относятся 65-75 °С).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C-45. </w:t>
      </w:r>
      <w:r>
        <w:rPr>
          <w:b/>
        </w:rPr>
        <w:t xml:space="preserve">Fe и Co переставлены местами в составе маточника, поступающего на смешанный купорос (табл. 3.1)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м3/ч; Состав маточного раствора: … кобальт ¦ 5,5-6,0 ¦ кг/м3; железо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«а, б получение медного купороса», строки 296, 300-301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«Поток поступающего раствора ¦ 2,5-2,6 ¦ м3/ч; Состав поступающего раствора: … Fe ¦ 5,5-6,0 ¦ кг/м3; Co ¦ 8-10 ¦ кг/м3»</w:t>
            </w:r>
          </w:p>
          <w:p>
            <w:r>
              <w:rPr>
                <w:color w:val="666666"/>
                <w:sz w:val="18"/>
              </w:rPr>
              <w:t xml:space="preserve">ИД ч.2, табл. 3.1, блок «б, В получение смешанного медно-никелевого купороса», строки 322, 326-327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Это один и тот же поток (маточник после медного купороса = питание смешанного). ТЗ (строка 230: «60 Cu, 70 Ni, 5,59 Со, 8,98 Fe») и исходное соотношение в питании (Fe 2,5-3,0 &gt; Co 1,5-1,8) подтверждают первый вариант: Co ≈ 5,6, Fe ≈ 9. Во втором блоке значения Fe и Co переставлены.</w:t>
      </w:r>
    </w:p>
    <w:p>
      <w:r>
        <w:rPr>
          <w:b/>
        </w:rPr>
        <w:t xml:space="preserve">Вопрос Заказчику: </w:t>
      </w:r>
      <w:r>
        <w:t xml:space="preserve">Поправить блок «б, В» табл. 3.1 (Fe 8-10; Co 5,5-6,0).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C-46. </w:t>
      </w:r>
      <w:r>
        <w:rPr>
          <w:b/>
        </w:rPr>
        <w:t xml:space="preserve">Поток маточника на смешанный купорос: 11,81 тыс. м3/год по ТЗ против 2,3-2,5 м3/ч (=19-21 тыс. м3/год) по табл. 3.1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«Общее количество маточного раствора от кристаллизации медного купороса, поступающего на получение медно-никелевого купороса, составляет 11,81 тыс. м3/год.»</w:t>
            </w:r>
          </w:p>
          <w:p>
            <w:r>
              <w:rPr>
                <w:color w:val="666666"/>
                <w:sz w:val="18"/>
              </w:rPr>
              <w:t xml:space="preserve">ТЗ v3.6, п. 4.1, строка 231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«Проток маточного р-ра на выпарку смеш. купороса ¦ 2,3-2,5 ¦ м3/ч»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296 (также «Поток поступающего раствора ¦ 2,5-2,6 ¦ м3/ч», строка 322)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11,81 тыс. м3/год = 1,42 м3/ч против 2,3-2,6 м3/ч в табл. 3.1 — расхождение в ~1,7 раза. ИД сама оговаривает (строка 259), что при разночтениях приоритет у разделов 2 и 5 (ТЗ, судя по числам, взято из балансов 5.7/5.18), но производительность выпарных аппаратов Лота 2 выбирается по этим потокам.</w:t>
      </w:r>
    </w:p>
    <w:p>
      <w:r>
        <w:rPr>
          <w:b/>
        </w:rPr>
        <w:t xml:space="preserve">Вопрос Заказчику: </w:t>
      </w:r>
      <w:r>
        <w:t xml:space="preserve">Свести табл. 3.1 с балансами 5.7/5.18 и указать расчётный поток питания смешанной кристаллизации.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C-47. </w:t>
      </w:r>
      <w:r>
        <w:rPr>
          <w:b/>
        </w:rPr>
        <w:t xml:space="preserve">Кобальт в растворе после усреднения: 13 кг/м3 против 1,6 кг/м3 в ванне (порядковая опечатка)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р-ра после усреднения на теплообменник: … Co ¦ 13 ¦ кг/м3»</w:t>
            </w:r>
          </w:p>
          <w:p>
            <w:r>
              <w:rPr>
                <w:color w:val="666666"/>
                <w:sz w:val="18"/>
              </w:rPr>
              <w:t xml:space="preserve">ИД ч.2, табл. 3.1 «Усреднение растворов перед электролизом», строки 387, 391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электролита в ванне: … Co ¦ 1,6»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строки 425, 429 (также Co 1,5-1,8 в богатом растворе, строка 275)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Питание ванн не может содержать 13 кг/м3 Co при 1,6 в ванне и 1,5-1,8 в богатом растворе; судя по ряду (Cu 40, Ni 20, Fe 2,6), должно быть 1,3-1,6.</w:t>
      </w:r>
    </w:p>
    <w:p>
      <w:r>
        <w:rPr>
          <w:b/>
        </w:rPr>
        <w:t xml:space="preserve">Вопрос Заказчику: </w:t>
      </w:r>
      <w:r>
        <w:t xml:space="preserve">Поправить значение Co в строке «после усреднения» (вероятно 1,3).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C-48. </w:t>
      </w:r>
      <w:r>
        <w:rPr>
          <w:b/>
        </w:rPr>
        <w:t xml:space="preserve">Категория помещений по пожарной опасности: В2 в Прил. В против Д по разд. 6 ИД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«Категория помещения по взрывопожарной и пожарной опасности по СП 12.13130.2009 ¦ В2»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4 «Условия эксплуатации», строка 1254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«Все помещения производства по взрывопожарной и пожарной опасности относятся к категории Д. Исключение составляют помещения приготовления рабочих растворов флотореагентов…»</w:t>
            </w:r>
          </w:p>
          <w:p>
            <w:r>
              <w:rPr>
                <w:color w:val="666666"/>
                <w:sz w:val="18"/>
              </w:rPr>
              <w:t xml:space="preserve">ИД ч.2, разд. 6, строка 653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электролизного зала (место установки ванн) Дельта требует категорию В2 (пожароопасная), ИД декларирует Д для всех помещений. От категории зависят строительные и противопожарные решения существующего корпуса ЦЭМ.</w:t>
      </w:r>
    </w:p>
    <w:p>
      <w:r>
        <w:rPr>
          <w:b/>
        </w:rPr>
        <w:t xml:space="preserve">Вопрос Заказчику: </w:t>
      </w:r>
      <w:r>
        <w:t xml:space="preserve">Определить категорию электролизного отделения расчётом пожарной нагрузки и привести оба документа к одному значению.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C-49. </w:t>
      </w:r>
      <w:r>
        <w:rPr>
          <w:b/>
        </w:rPr>
        <w:t xml:space="preserve">Параметры промывки катодов в КСМ: два абзаца дают разные температуры обеих ступеней и несовместимые расходы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«Подача охлаждающей воды: давление 1,5 бар; температура - макс. 30C; скорость потока 25 л/мин; подача воды на 1 стадию промывки – 25 м3/ч, 60-80 C; подача воды на 2 стадию промывки - 4 м3/час, 90-115C»</w:t>
            </w:r>
          </w:p>
          <w:p>
            <w:r>
              <w:rPr>
                <w:color w:val="666666"/>
                <w:sz w:val="18"/>
              </w:rPr>
              <w:t xml:space="preserve">ИД ч.2, описание КСМ Outotec, строка 551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теплообменника КСМ, вода с температурой 40-70 оС, поступает в резервуар промывочной камеры, откуда циркуляционным насосом подается на форсунки 1-ой стадии промывки. Кроме этого свежая промывная вода, с температурой 50-90 оС, поступает на форсунки 2-ой стадии промывки… Производительность насоса - 250 л/мин.»</w:t>
            </w:r>
          </w:p>
          <w:p>
            <w:r>
              <w:rPr>
                <w:color w:val="666666"/>
                <w:sz w:val="18"/>
              </w:rPr>
              <w:t xml:space="preserve">ИД ч.2, описание КСМ, «Промывочная камера», строка 555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1-я ступень: 60-80 °С и 25 м3/ч против 40-70 °С при насосе 250 л/мин (=15 м3/ч — заявленную подачу 25 м3/ч не обеспечивает); 2-я ступень: 90-115 °С против 50-90 °С (115 °С вообще выше точки кипения при атмосферном давлении). Требования к КСМ (Лот 3) по воде и теплу не сведены.</w:t>
      </w:r>
    </w:p>
    <w:p>
      <w:r>
        <w:rPr>
          <w:b/>
        </w:rPr>
        <w:t xml:space="preserve">Вопрос Заказчику: </w:t>
      </w:r>
      <w:r>
        <w:t xml:space="preserve">Задать в ТЗ на КСМ один набор параметров промывки (температуры, расходы, источник горячей воды).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C-50. </w:t>
      </w:r>
      <w:r>
        <w:rPr>
          <w:b/>
        </w:rPr>
        <w:t xml:space="preserve">Куда идёт пульпа выгрузки контрольной фильтрации: в реактор 4.1.15 или в «буферный реактор 4.1.19», который тут же назван ёмкостью чистого фильтрата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«Одновременно в реактор, поз. 4.1.15 выгружается пульпа фильтра контрольной фильтрации, поз. 4.1.20.»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 (согласуется с разд. 2.2, строка 238: «Пульпа выгрузки контрольной фильтрации возвращается на сгущение»)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выгрузки фильтров контрольной фильтрации сбрасывается в буферный реактор поз. 4.1.19. Фильтрат контрольной фильтрации, поз. 4.1.20, через промежуточную емкость, поз. 4.1.19, и теплообменник поз. 4.1.17 в качестве богатого раствора поступает в усреднительный бак, поз. 4.2.1…»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предложениях поз. 4.1.19 — одновременно приёмник грязной пульпы выгрузки и ёмкость чистого фильтрата, а сама пульпа направлена в два разных места (4.1.15 и 4.1.19). При этом именно «емкость сбора фильтрата (поз. 4.1.19)» — точка границы Лотов 2 и 3 по ТЗ (пп. 4.3.1, 5.2.1).</w:t>
      </w:r>
    </w:p>
    <w:p>
      <w:r>
        <w:rPr>
          <w:b/>
        </w:rPr>
        <w:t xml:space="preserve">Вопрос Заказчику: </w:t>
      </w:r>
      <w:r>
        <w:t xml:space="preserve">Уточнить схему: пульпа выгрузки — на сгущение (4.1.15?), фильтрат — через какую ёмкость; поправить номер в одном из предложений.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C-51. </w:t>
      </w:r>
      <w:r>
        <w:rPr>
          <w:b/>
        </w:rPr>
        <w:t xml:space="preserve">Аноды: «холоднокатаные, легированные Sn, Al и Ca» против «горячекатаная пластина Pb-Ca-Sn»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нерастворимые, толщиной 6(8) мм, холоднокатаные на основе свинцового сплава, легированные оловом, алюминием и кальцием.»</w:t>
            </w:r>
          </w:p>
          <w:p>
            <w:r>
              <w:rPr>
                <w:color w:val="666666"/>
                <w:sz w:val="18"/>
              </w:rPr>
              <w:t xml:space="preserve">ИД ч.2, п. 1.3.9, строка 153 (то же в Прил. Б, строка 1038)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«Аноды – горячекатаная пластина сплава Pb-Сa (0,06 %)-Sn (1,4 %), приваренная к штанге»</w:t>
            </w:r>
          </w:p>
          <w:p>
            <w:r>
              <w:rPr>
                <w:color w:val="666666"/>
                <w:sz w:val="18"/>
              </w:rPr>
              <w:t xml:space="preserve">ИД ч.2, табл. 3.1 «Электроэкстракция меди», строка 411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Разный способ проката (холодно-/горячекатаные) и разное легирование (с алюминием / без). Прил. В (строка 1230) говорит про «аноды из сплава свинца-кальция-олова» без Al. Аноды входят в поставку Лота 3 (ТЗ, строка 331) — спецификация двоится. Плюс толщина «6(8) мм» против «Толщина анодов 6,0 мм» (строка 409).</w:t>
      </w:r>
    </w:p>
    <w:p>
      <w:r>
        <w:rPr>
          <w:b/>
        </w:rPr>
        <w:t xml:space="preserve">Вопрос Заказчику: </w:t>
      </w:r>
      <w:r>
        <w:t xml:space="preserve">Зафиксировать способ проката, состав сплава (с Al или без) и толщину.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C-52. </w:t>
      </w:r>
      <w:r>
        <w:rPr>
          <w:b/>
        </w:rPr>
        <w:t xml:space="preserve">ТЗ называет контрольную фильтрацию «фильтр-прессом», в ИД это намывные фильтры (фильтр-прессы — другая позиция)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«Фильтрат от фильтр-пресса контрольной фильтрации, продукционный (богатый) раствор ¦ Фланец трубопровода от емкости сбора фильтрата фильтр-пресса (ИД, часть 2, рис. 4.1, поз. 4.1.19)»</w:t>
            </w:r>
          </w:p>
          <w:p>
            <w:r>
              <w:rPr>
                <w:color w:val="666666"/>
                <w:sz w:val="18"/>
              </w:rPr>
              <w:t xml:space="preserve">ТЗ v3.6, пп. 4.3.1 и 5.2.1, строки 245, 319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«Фильтры контрольной фильтрации, поз. 4.1.20, с диатомитовым намывным слоем.»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450 (также «Контрольная фильтрация продукционных растворов на намывных фильтрах», строка 265)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Фильтр-прессы в ИД — это поз. 4.1.29 (фильтрация песков), а контрольная фильтрация — намывные фильтры поз. 4.1.20. Граница проектирования Лотов 2 и 3 в ТЗ описана через несуществующую единицу («фильтр-пресс контрольной фильтрации»).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границы переписаны: вход Лота 2 — «Фланец выпарного аппарата I ступени получения медного купороса», Лота 3 — «Фланец патрубка подачи электролита в каждую электролизную ванну»; упоминание «фильтр-пресса контрольной фильтрации» из границ исключено</w:t>
      </w:r>
    </w:p>
    <w:p>
      <w:r>
        <w:rPr>
          <w:b/>
        </w:rPr>
        <w:t xml:space="preserve">Вопрос Заказчику: </w:t>
      </w:r>
      <w:r>
        <w:t xml:space="preserve">Переформулировать границу: «фланец трубопровода от ёмкости фильтрата намывных фильтров контрольной фильтрации (поз. 4.1.19/4.1.20)».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C-53. </w:t>
      </w:r>
      <w:r>
        <w:rPr>
          <w:b/>
        </w:rPr>
        <w:t xml:space="preserve">ТЗ (Лот 3): «специальные автоматические краны» включены в БИ, но «грузоподъемное оборудование» из БИ исключено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Специальные автоматические краны с системой позиционирования;»</w:t>
            </w:r>
          </w:p>
          <w:p>
            <w:r>
              <w:rPr>
                <w:color w:val="666666"/>
                <w:sz w:val="18"/>
              </w:rPr>
              <w:t xml:space="preserve">ТЗ v3.6, п. 5.3, перечень включаемого в БИ, строка 338 (и строка 385: «…а также специальными автоматическими кранами электролизного зала» в стоимости поставки)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Грузоподъемное оборудование;»</w:t>
            </w:r>
          </w:p>
          <w:p>
            <w:r>
              <w:rPr>
                <w:color w:val="666666"/>
                <w:sz w:val="18"/>
              </w:rPr>
              <w:t xml:space="preserve">ТЗ v3.6, п. 5.3, «Перечень оборудования, не включаемого в состав БИ», строки 344, 352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Спецкраны — грузоподъёмное оборудование; один перечень их включает (и стоимость по Лоту 3 их учитывает), другой — исключает. Исполнитель БИ не сможет однозначно определить объём поставки.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перечни включаемого и не включаемого оборудования Лота 3 в v4.1 не изменены — вопрос в силе</w:t>
      </w:r>
    </w:p>
    <w:p>
      <w:r>
        <w:rPr>
          <w:b/>
        </w:rPr>
        <w:t xml:space="preserve">Вопрос Заказчику: </w:t>
      </w:r>
      <w:r>
        <w:t xml:space="preserve">Уточнить: «прочее грузоподъёмное оборудование, кроме специальных автоматических кранов, в БИ не включается» (или наоборот).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C-54. </w:t>
      </w:r>
      <w:r>
        <w:rPr>
          <w:b/>
        </w:rPr>
        <w:t xml:space="preserve">Стык обжиг→ГМЦ: продукты обжига выгружаются при 70 °С, а выбранный автоцементовоз допускает не более 65 °С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«434 ¦ Температура материала на выходе из холодильника ¦ 0С ¦ 70»</w:t>
            </w:r>
          </w:p>
          <w:p>
            <w:r>
              <w:rPr>
                <w:color w:val="666666"/>
                <w:sz w:val="18"/>
              </w:rPr>
              <w:t xml:space="preserve">ИД ч.1, табл. 23, строка 1211 (то же в ТЗ, строка 145: «охлаждаются в холодильнике до температуры 70 град С»)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«499 ¦ Рабочая температура, не более ¦ оС ¦ 65»</w:t>
            </w:r>
          </w:p>
          <w:p>
            <w:r>
              <w:rPr>
                <w:color w:val="666666"/>
                <w:sz w:val="18"/>
              </w:rPr>
              <w:t xml:space="preserve">ИД ч.1, табл. 23 «Транспортировка продуктов обжига в ГМУ», автоцементовоз BULL-WABCO-45, строка 1311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Огарок и пыль грузятся в силосную башню и далее в цементовоз при 70 °С (в тексте ч.1 «до 60-70 °С», строка 460), а паспортная рабочая температура цементовоза с алюминиевой цистерной — не более 65 °С. Интерфейс перевозки на гидрометаллургию не сходится.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составе Лота 1 «в автоцементовозы» вычеркнуто (зачёркнутое = исключено), способ транспортировки — при ОТР; конфликт 70 °С против 65 °С актуализируется, только если транспорт подтвердят автоцементовозами (C-95)</w:t>
      </w:r>
    </w:p>
    <w:p>
      <w:r>
        <w:rPr>
          <w:b/>
        </w:rPr>
        <w:t xml:space="preserve">Вопрос Заказчику: </w:t>
      </w:r>
      <w:r>
        <w:t xml:space="preserve">Либо охлаждать до ≤65 °С (запас холодильника есть), либо выбрать транспорт с допуском ≥70 °С; зафиксировать температуру приёмки в ч.2.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C-55. </w:t>
      </w:r>
      <w:r>
        <w:rPr>
          <w:b/>
        </w:rPr>
        <w:t xml:space="preserve">Центрифуга медного купороса: в ТЗ «поз. 4.1.6», в ИД «поз. 4.1.16», при этом 4.1.16 в ИД — ещё и сгуститель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«Оборотный медный купорос ¦ Фланец выгрузки центрифуги (ИД, часть 2, рис. 4.1, поз. 4.1.6)»</w:t>
            </w:r>
          </w:p>
          <w:p>
            <w:r>
              <w:rPr>
                <w:color w:val="666666"/>
                <w:sz w:val="18"/>
              </w:rPr>
              <w:t xml:space="preserve">ТЗ v3.6, п. 4.3.4, строка 248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«Пульпа купороса из испарителя поз. 4.1.2 через солевую колонну сбрасывается в репульпатор поз. 4.1.4, откуда поступает на центрифуги поз. 4.1.16.»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(при этом «…последний реактор является буферным для сгустителя поз. 4.1.16, в котором происходит сгущение остатка выщелачивания», строка 449)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Граница Лота 2 в ТЗ привязана к поз. 4.1.6, которой в тексте ИД нет; в ИД центрифуга названа 4.1.16, но этот же номер занят сгустителем. Похоже, в строке 452 опечатка (4.1.6 → набрано 4.1.16).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граница в v4.1 — «Оборотный медный купорос ¦ Фланец выгрузки центрифуги медного купороса», ссылки на поз. 4.1.6 больше нет; дубль поз. 4.1.16 внутри ИД ч.2 остаётся</w:t>
      </w:r>
    </w:p>
    <w:p>
      <w:r>
        <w:rPr>
          <w:b/>
        </w:rPr>
        <w:t xml:space="preserve">Вопрос Заказчику: </w:t>
      </w:r>
      <w:r>
        <w:t xml:space="preserve">Сверить нумерацию с рис. 4.1/табл. 4.1 и устранить двойное использование 4.1.16.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C-75. </w:t>
      </w:r>
      <w:r>
        <w:rPr>
          <w:b/>
        </w:rPr>
        <w:t xml:space="preserve">ТЗ на ЦИМ внутренне: этапом заявлена только стадия П, но текст и приложения оперируют стадиями Р, 4D, исполнительной и эксплуатационной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«Выделены следующие этапы разработки ЦИМ для ИСП»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стр.79 (табл.2 содержит один этап — «Проектная ЦИМ (стадия П)», стр.83)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«Для Проектной ЦИМ стадии Р – выгруженная из ЦИМ спецификация»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стр.208 (Данные, передаваемые Заказчику)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2 задаёт единственный этап — «Проектная ЦИМ (стадия П)», однако раздел результатов требует спецификацию «Для Проектной ЦИМ стадии Р» (стр.208), таблица 4 назначает проверки для этапов «Проектная ЦИМ (стадия Р), Строительная ЦИМ (4D-модель), Исполнительная ЦИМ («как построено»), Эксплуатационная ЦИМ» (стр.169–175), Прил.6 озаглавлено «…стадий П и Р», а Прил.4 кодирует стадии RD/4D/ID/EXP (стр.37–40). Какие этапы входят в договорный объём — не определено.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этап — ЦИМ стадии БИ, упоминания стадии Р исключены; но пример имени файла остался «стадия ПД», а единственный код стадии — CONCP (эскизный проект): кода для БИ нет</w:t>
      </w:r>
    </w:p>
    <w:p>
      <w:r>
        <w:rPr>
          <w:b/>
        </w:rPr>
        <w:t xml:space="preserve">Вопрос Заказчику: </w:t>
      </w:r>
      <w:r>
        <w:t xml:space="preserve">Привести таблицу 2 к фактически заказываемым этапам и вычистить из текста/приложений требования по этапам вне объёма (либо явно включить их).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C-77. </w:t>
      </w:r>
      <w:r>
        <w:rPr>
          <w:b/>
        </w:rPr>
        <w:t xml:space="preserve">Версии IFC: ТЗ на ЦИМ допускает 2.3.0.0 / 4.0.2.1 / 4.3+, а правила наименования кодируют другой набор, включая недопустимые и черновые версии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«Допустимыми версиями IFC являются версии IFC 2.3.0.0, IFC 4.0.2.1, IFC 4.3 и более поздние версии.»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стр.224 (Требования к файлам формата IFC)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«IFC4 версии 4.3.rc.1 (IFC4.3 RC1) ¦ I43R1»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стр.273 (табл. обозначений ПО)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Таблица кодов Прил.4 легализует имена файлов для IFC 2.3.0.1, 4.0.0.0–4.2.0.0, 4.3 RC1/RC2 и «IFC перспективной версии 5» (стр.259–275) — почти все эти версии не входят в допустимый перечень ТЗ. Для «IFC 4.3 и более поздних» в таблице есть только черновые RC-коды: выпущенный IFC 4.3 (ISO 16739-1:2024) кода не имеет. Разночтение позволяет сдать модель в версии, которую Заказчик принимать не обязан.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таблица кодов по-прежнему легализует IFC 2.3.0.1, 4.0.2.0, 4.3 RC1 и др. против допустимых 2.3.0.0 / 4.0.2.1 / 4.3+</w:t>
      </w:r>
    </w:p>
    <w:p>
      <w:r>
        <w:rPr>
          <w:b/>
        </w:rPr>
        <w:t xml:space="preserve">Вопрос Заказчику: </w:t>
      </w:r>
      <w:r>
        <w:t xml:space="preserve">Синхронизировать перечень допустимых версий IFC и таблицу кодов Прил.4: убрать коды недопустимых/черновых версий, добавить код релизного IFC 4.3.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C-78. </w:t>
      </w:r>
      <w:r>
        <w:rPr>
          <w:b/>
        </w:rPr>
        <w:t xml:space="preserve">ПО для ЦИМ: таблица 3 разрешает только российский софт, а правила наименования и единственный пример — Bentley/Autodesk/Archicad и пр.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допустимого программного обеспечения для создания ЦИМ приведен в таблице 3.»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стр.102 (в табл.3 — Model Studio CS, NanoCAD, Renga, Топоматик Robur, Кредо, CADLib, Larix)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«KGMK-OVE_PD_1200_TX_ex_Conveyor_OPM.dgn Проект КГМК-ОВЭ, стадия ПД, объект 1200, марка ТХ, существующее, конвейерное оборудование, ПО Bentley OpenPlant Modeler.»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стр.24–25 (пример наименования файла)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Прил.4 задаёт коды несогласованного с таблицей 3 ПО — Autodesk Revit 2020 «AR20» (стр.231), Archicad, Tekla, AVEVA, Intergraph и др. (стр.223–258), а единственный пример имени файла построен на Bentley OpenPlant (.dgn). При этом Прил.5 требует, чтобы ПО промышленной автоматизации «должно быть разработано и произведено на территории РФ» (brief.txt, стр.118). Исполнителю неясно, допустимы ли иностранные САПР.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ред.2: перечень ПО стал «рекомендуемым» и согласуется с Заказчиком (Model Studio CS, NanoCAD, CADLib, Larix); коды имён файлов и пример — по-прежнему Bentley/Renga</w:t>
      </w:r>
    </w:p>
    <w:p>
      <w:r>
        <w:rPr>
          <w:b/>
        </w:rPr>
        <w:t xml:space="preserve">Вопрос Заказчику: </w:t>
      </w:r>
      <w:r>
        <w:t xml:space="preserve">Оставить в Прил.4 коды только для ПО из таблицы 3 (или осознанно расширить таблицу 3); пример имени файла переписать на допустимое ПО.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C-81. </w:t>
      </w:r>
      <w:r>
        <w:rPr>
          <w:b/>
        </w:rPr>
        <w:t xml:space="preserve">Кто Заказчик: АО «Кольская ГМК» (основное ТЗ) или подразделение ПАО «ГМК «Норильский Никель» (ТЗ на ЦИМ)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«Заказчиком проекта является АО «Кольская ГМК».»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стр.36 (п. Заказчик проекта)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«Заказчик: подразделение ПАО ГМК «Норильский Никель», в интересах которого»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стр.33 (Термины и определения)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Основное ТЗ определяет Заказчика как АО «Кольская ГМК» — самостоятельное юрлицо, а ТЗ на ЦИМ — как подразделение ПАО «ГМК «Норильский Никель»; при этом утверждает ТЗ на ЦИМ главный инженер АО «Кольская ГМК» (титульный лист, стр.2). Разные определения стороны, которая принимает ЦИМ, ведёт СОД и согласует ПИМ.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ред.2: «Заказчик: подразделение ПАО ГМК „Норильский Никель“…» при титуле АО «Кольская ГМК»</w:t>
      </w:r>
    </w:p>
    <w:p>
      <w:r>
        <w:rPr>
          <w:b/>
        </w:rPr>
        <w:t xml:space="preserve">Вопрос Заказчику: </w:t>
      </w:r>
      <w:r>
        <w:t xml:space="preserve">Привести определение «Заказчик» в ТЗ на ЦИМ к АО «Кольская ГМК» либо явно разграничить роли КГМК и ПАО в процессах ЦИМ/СОД.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C-83. </w:t>
      </w:r>
      <w:r>
        <w:rPr>
          <w:b/>
        </w:rPr>
        <w:t xml:space="preserve">SCADA верхнего уровня: текст Прил.5 жёстко фиксирует AlphaScada, перечни того же Прил.5 требуют конкурсный выбор из двух целевых систем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«Верхний уровень строится на основе SCADA системы AlphaScada производитель АО «Атомик Софт»»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стр.75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«Утвердить для ИТ-систем класса АСУТП, реализуемых как ИТ-проекты, а также для проектов капитального строительства с ИТ-составляющей, следующие санкционно-независимые (отечественные) целевые SCADA-системы:»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стр.68–70 (п.2, Протокол № ГМК/13-пр-017 от 15.06.2026)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Перечень называет две целевые SCADA — Alpha.Platform (АО «Атомик Софт») и Integrity SCADA (АО «ЭлеСи») — с примечанием «конечный выбор решения производить на основе конкурсных процедур» (pa.txt, стр.72–75). Сам текст Прил.5 ниже также говорит: «Окончательный выбор основы построения верхнего уровня определяется на стадии проектирования… с утверждением у Заказчика» (brief.txt, стр.79), противореча собственной жёсткой фиксации AlphaScada в стр.75. Написание продукта тоже расходится: AlphaScada против Alpha.Scada (модуль Alpha.Platform).</w:t>
      </w:r>
    </w:p>
    <w:p>
      <w:r>
        <w:rPr>
          <w:b/>
        </w:rPr>
        <w:t xml:space="preserve">Вопрос Заказчику: </w:t>
      </w:r>
      <w:r>
        <w:t xml:space="preserve">Определить единый порядок: конкурсный выбор из целевых SCADA по перечню или прямое назначение AlphaScada; согласовать написание наименования продукта.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C-84. </w:t>
      </w:r>
      <w:r>
        <w:rPr>
          <w:b/>
        </w:rPr>
        <w:t xml:space="preserve">ПЛК среднего уровня: в тексте Прил.5 — «Прософт Системы» REGUL RX00 (вся серия), в перечнях — ООО «РегЛаб» и только Regul R050/R400/R500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«Средний уровень строится на основе контроллерного оборудования российских производителей ПЛК ООО «Прософт Системы» REGUL RX00, НИЦ «Инкомсистем» АБАК.»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стр.68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«Regul R050/ R400/R500    ООО «РегЛаб»»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стр.25 (п.1а, Протокол № ГМК/7-пр-081 от 10.06.2026)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Текст допускает всю серию REGUL RX00 производства «Прософт Системы»; утверждённый перечень — только модели R050/R400/R500 с производителем ООО «РегЛаб», а АБАК — только К2/К3 у АО НИЦ «Инкомсистем» (pa.txt, стр.26). Неясно, допустимы ли прочие модели серии (R200, R600) и какой производитель указывается в спецификациях и опросных листах.</w:t>
      </w:r>
    </w:p>
    <w:p>
      <w:r>
        <w:rPr>
          <w:b/>
        </w:rPr>
        <w:t xml:space="preserve">Вопрос Заказчику: </w:t>
      </w:r>
      <w:r>
        <w:t xml:space="preserve">Синхронизировать текст Прил.5 с перечнем: закрытый список допустимых моделей ПЛК и точные юридические наименования производителей.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C-88. </w:t>
      </w:r>
      <w:r>
        <w:rPr>
          <w:b/>
        </w:rPr>
        <w:t xml:space="preserve">Приложение №5: в ТЗ названо «Требования ОАСУ», документ называется иначе, и в теле ТЗ не вызвано ни для одного лота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5 – Требования ОАСУ.»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стр.432 (Перечень приложений)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«Базовые требования при построении систем автоматизации на пл. Мончегорск»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стр.9 (титул Прил.5)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Сокращение «ОАСУ» в ТЗ нигде не расшифровано (в перечне сокращений его нет), наименование в перечне приложений не совпадает с титулом документа. В отличие от Прил.3, вызываемого в составе каждого лота (стр.198, 214, 296, 376, 416), и Прил.4 (стр.425), Прил.5 в теле ТЗ не упомянуто ни разу — обязательность его требований (и перечней рекомендованных средств, вторая часть без титула приложения) для Лотов 1–4 формально не установлена.</w:t>
      </w:r>
    </w:p>
    <w:p>
      <w:r>
        <w:rPr>
          <w:b/>
        </w:rPr>
        <w:t xml:space="preserve">Вопрос Заказчику: </w:t>
      </w:r>
      <w:r>
        <w:t xml:space="preserve">Расшифровать ОАСУ, привести название Прил.5 в соответствие с документом и прямо указать его применимость в требованиях каждого лота.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C-94. </w:t>
      </w:r>
      <w:r>
        <w:rPr>
          <w:b/>
        </w:rPr>
        <w:t xml:space="preserve">v4.1: базис — новое строительство (п.1.3; пометки базиса в таблице объектов вычеркнуты), но в перечне приложений остались обмерные Прил.№6/№7 существующих зданий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Заказчиком.»</w:t>
            </w:r>
          </w:p>
          <w:p>
            <w:r>
              <w:rPr>
                <w:color w:val="666666"/>
                <w:sz w:val="18"/>
              </w:rPr>
              <w:t xml:space="preserve">ТЗ на БИ v4.1, разд. 1.3 «Наименование и местонахождение проектируемого объекта»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6 – Существующее здание Цеха электролиза меди (ЦЭМ). … 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v4.1, «Перечень приложений» (пометки «(новое строительство)»/«(существующие здания)» в таблице объектов v4.1 вычеркнуты)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 правилу «зачёркнутое = исключено» v4.1 сняла пометки базиса в таблице объектов, и базис остаётся один — п.1.3: новое строительство всех объектов комплекса на свободной территории. При этом в перечне приложений сохранены обмерные Прил.№6 (здание ЦЭМ) и №7 (здание ГМУ) «существующих зданий» — их статус при новом строительстве не определён. Сам «вариант размещения, принятый Заказчиком» в ИД не выдан.</w:t>
      </w:r>
    </w:p>
    <w:p>
      <w:r>
        <w:rPr>
          <w:b/>
        </w:rPr>
        <w:t xml:space="preserve">Вопрос Заказчику: </w:t>
      </w:r>
      <w:r>
        <w:t xml:space="preserve">Подтвердить протоколом: базис всех лотов — новое строительство (п.1.3); статус Прил.№6/№7 — справочные (не применяются) либо исключить; передать «вариант размещения» (генплан) как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C-96. </w:t>
      </w:r>
      <w:r>
        <w:rPr>
          <w:b/>
        </w:rPr>
        <w:t xml:space="preserve">v4.1: в таблице границ Лота №2 пустая строка — потеряна граница по сжатому воздуху</w:t>
      </w:r>
    </w:p>
    <w:p>
      <w:r>
        <w:rPr>
          <w:color w:val="666666"/>
          <w:sz w:val="20"/>
        </w:rPr>
        <w:t xml:space="preserve">Лот №2 · Купорос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«Маточный раствор 2 от получения медно-никелевого купороса ¦ Фланец выпарного аппарата II ступени получения медно-никелевого купороса»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№2 — следующая строка таблицы полностью пуста (« ¦ ¦ 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«Компрессорный сжатый воздух для обеспечения технологии, пневматических механизмов и средств автоматизации ¦ Предварительно: фланец трубопровода на внешней стене цеха. Уточняется при разработке БИ и ОТР (согласовании Заказчиком ТУ на подключение)»</w:t>
            </w:r>
          </w:p>
          <w:p>
            <w:r>
              <w:rPr>
                <w:color w:val="666666"/>
                <w:sz w:val="18"/>
              </w:rPr>
              <w:t xml:space="preserve">ТЗ на БИ v3.6, п. 4.3.2 — строка, стоявшая на этом месте до пересмотра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переписывании таблицы границ Лота 2 строка про сжатый воздух опустела: в v4.1 между «маточным раствором 2» и «паром» осталась строка без продукта и без границы. У Лота 3 граница по сжатому воздуху есть, у Лота 2 — исчезла, хотя пневмооборудование участка (центрифуги, клапаны, КИП) никуда не делось.</w:t>
      </w:r>
    </w:p>
    <w:p>
      <w:r>
        <w:rPr>
          <w:b/>
        </w:rPr>
        <w:t xml:space="preserve">Вопрос Заказчику: </w:t>
      </w:r>
      <w:r>
        <w:t xml:space="preserve">Восстановить строку «Компрессорный сжатый воздух …» в таблице границ Лота №2 (или явно подтвердить исключение сжатого воздуха из границ Лота №2 с указанием, кто проектирует подвод).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C-98. </w:t>
      </w:r>
      <w:r>
        <w:rPr>
          <w:b/>
        </w:rPr>
        <w:t xml:space="preserve">v4.1: «не менее 2-х – 3-х ТКП на каждую позицию» и «Бюджетные ТКП по основному оборудованию» в одной фразе</w:t>
      </w:r>
    </w:p>
    <w:p>
      <w:r>
        <w:rPr>
          <w:color w:val="666666"/>
          <w:sz w:val="20"/>
        </w:rPr>
        <w:t xml:space="preserve">общий / стык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«Стоимость оборудования по данным Технико-коммерческих предложений (ТКП) потенциальных поставщиков (не менее 2-х – 3-х на каждую позицию оборудования); Бюджетные ТКП по основному оборудованию.»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поставки» — одинаково по Лотам №1–4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4.5.»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№1», второй абзац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v4.1 добавила «Бюджетные ТКП по основному оборудованию» (наше предложение по глубине оценки принято) и назвала итоговую оценку «Бюджетной», но не сняла «не менее 2-х – 3-х на КАЖДУЮ позицию». На этапе БИ это сотни позиций × 2–3 полноценных ТКП — невыполнимо по срокам и не нужно для бюджетной оценки; непонятно, какая из двух норм действует. [Правка 25.08: при первичном прочтении вычеркнутая строка учитывалась как действующая; по правилу «зачёркнутое = исключено» противоречия нет — действует только «Бюджетные ТКП по основному оборудованию».]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снято по правило чтения v4.1 «зачёркнутое = исключено» (принято 25.08.2026, подтвердить протоколом с Заказчиком): строка «не менее 2-х – 3-х на каждую позицию» в v4.1 вычеркнута — действуют только бюджетные ТКП по основному оборудованию</w:t>
      </w:r>
    </w:p>
    <w:p>
      <w:r>
        <w:rPr>
          <w:b/>
        </w:rPr>
        <w:t xml:space="preserve">Вопрос Заказчику: </w:t>
      </w:r>
      <w:r>
        <w:t xml:space="preserve">Сформулировать однозначно: «бюджетные ТКП по основному оборудованию (не менее 2 на позицию основного перечня, перечень фиксируется при старте БИ); прочее — по укрупнённым показателям и базам данных».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C-100. </w:t>
      </w:r>
      <w:r>
        <w:rPr>
          <w:b/>
        </w:rPr>
        <w:t xml:space="preserve">v4.1: граница Лота №3 — фланец патрубка подачи каждой ванны, но циркуляционный бак остаётся в составе БИ (выше границы)</w:t>
      </w:r>
    </w:p>
    <w:p>
      <w:r>
        <w:rPr>
          <w:color w:val="666666"/>
          <w:sz w:val="20"/>
        </w:rPr>
        <w:t xml:space="preserve">Лот №3 · Электроэкстракция · важность: существенные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питания электролизных ванн ¦ Фланец патрубка подачи электролита в каждую электролизную ванну»</w:t>
            </w:r>
          </w:p>
          <w:p>
            <w:r>
              <w:rPr>
                <w:color w:val="666666"/>
                <w:sz w:val="18"/>
              </w:rPr>
              <w:t xml:space="preserve">ТЗ на БИ v4.1, таблица границ Лота №3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«Оборудование для получения катодной меди, включая: Циркуляционный бак. … Напорный трубопровод для ванн электроэкстракции меди»</w:t>
            </w:r>
          </w:p>
          <w:p>
            <w:r>
              <w:rPr>
                <w:color w:val="666666"/>
                <w:sz w:val="18"/>
              </w:rPr>
              <w:t xml:space="preserve">ТЗ на БИ v4.1, перечни Лота №3: бак — в составе БИ, напорный трубопровод — в перечне «не включаемого»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Вход в границы Лота 3 перенесён с ёмкости фильтрата (v3.6) на патрубок подачи каждой ванны. Но циркуляционный бак стоит выше этой границы (между ним и ваннами — исключённый из БИ напорный трубопровод), при этом бак включён в состав БИ Лота 3. Оборудование в составе лота оказывается вне его заявленных границ — исполнитель БИ не может корректно определить объём проектирования и стоимости.</w:t>
      </w:r>
    </w:p>
    <w:p>
      <w:r>
        <w:rPr>
          <w:b/>
        </w:rPr>
        <w:t xml:space="preserve">Вопрос Заказчику: </w:t>
      </w:r>
      <w:r>
        <w:t xml:space="preserve">Определить вход Лота №3: либо граница — входной фланец циркуляционного бака (тогда таблицу границ дополнить), либо патрубки ванн (тогда указать, в чей объём входят циркуляционный бак и напорный коллектор).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3. Формальные расхождения (55)</w:t>
      </w:r>
    </w:p>
    <w:p>
      <w:r>
        <w:rPr>
          <w:color w:val="666666"/>
          <w:sz w:val="20"/>
        </w:rPr>
        <w:t xml:space="preserve">Формальности: опечатки и битые ссылки, которые всплывут на экспертизе.</w:t>
      </w:r>
    </w:p>
    <w:p>
      <w:pPr>
        <w:pStyle w:val="Heading2"/>
      </w:pPr>
      <w:r>
        <w:rPr>
          <w:b/>
        </w:rPr>
        <w:t xml:space="preserve">C-06. </w:t>
      </w:r>
      <w:r>
        <w:rPr>
          <w:b/>
        </w:rPr>
        <w:t xml:space="preserve">Несуществующая марка стали в ИД: 12Х1812Т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ч.1, табл. 24 — материал циклона, электрофильтра и дымососов указан четырежды как «12Х1812Т»»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«Там же, один раз указано корректно — 12Х18Н10Т»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Марки 12Х1812Т не существует. Очевидная опечатка, но в спецификации и опросных листах она приведёт к разночтениям с изготовителем.</w:t>
      </w:r>
    </w:p>
    <w:p>
      <w:r>
        <w:rPr>
          <w:b/>
        </w:rPr>
        <w:t xml:space="preserve">Вопрос Заказчику: </w:t>
      </w:r>
      <w:r>
        <w:t xml:space="preserve">Подтверждаем прочтение как 12Х18Н10Т?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C-07. </w:t>
      </w:r>
      <w:r>
        <w:rPr>
          <w:b/>
        </w:rPr>
        <w:t xml:space="preserve">Ссылка на отменённый нормативный документ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«ИД ч.2 — ссылка на ПБ 10-382-00 «Правила устройства и безопасной эксплуатации грузоподъёмных кранов»»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«Документ отменён; действует ФНП № 461 от 26.11.2020»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При прохождении экспертизы ссылка на отменённый документ будет замечанием.</w:t>
      </w:r>
    </w:p>
    <w:p>
      <w:r>
        <w:rPr>
          <w:b/>
        </w:rPr>
        <w:t xml:space="preserve">Вопрос Заказчику: </w:t>
      </w:r>
      <w:r>
        <w:t xml:space="preserve">Подтверждаем применение ФНП № 461 вместо ПБ 10-382-00?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C-19. </w:t>
      </w:r>
      <w:r>
        <w:rPr>
          <w:b/>
        </w:rPr>
        <w:t xml:space="preserve">Дубль номера 3.3.2 в таблице границ проектирования ТЗ (3.3.3 пропущен)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проектирования, строка 151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ТЗ, п. 3.3, таблица границ проектирования, строка 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разные границы (кек NNH и цементная медь) идут под одним номером 3.3.2, номера 3.3.3 нет — дальше идёт 3.3.4. Ссылки на «границы, указанные в пункте 3.3» (пп. 3.4, 3.6 ТЗ) становятся неоднозначными для двух позиций.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нумерация строк таблиц границ в v4.1 удалена вовсе — двойного 3.3.2 больше нет; ссылки теперь ведут на пункты целиком (границы Лота 1 — п. 4.5)</w:t>
      </w:r>
    </w:p>
    <w:p>
      <w:r>
        <w:rPr>
          <w:b/>
        </w:rPr>
        <w:t xml:space="preserve">Вопрос Заказчику: </w:t>
      </w:r>
      <w:r>
        <w:t xml:space="preserve">Просьба перенумеровать таблицу границ п. 3.3 ТЗ (цементную медь — в 3.3.3), чтобы ссылки на границы были однозначны.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C-20. </w:t>
      </w:r>
      <w:r>
        <w:rPr>
          <w:b/>
        </w:rPr>
        <w:t xml:space="preserve">Количество концентрата ОРФ: 74528 против 74516,60 т/год внутри одной таблицы ИД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«2 ¦ Общее количество поступающего медного концентрата от разделения файнштейна ¦ т/год ¦ 74528»</w:t>
            </w:r>
          </w:p>
          <w:p>
            <w:r>
              <w:rPr>
                <w:color w:val="666666"/>
                <w:sz w:val="18"/>
              </w:rPr>
              <w:t xml:space="preserve">ИД ч.1, табл. 23, поз. 2, строка 480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«60 ¦ Количество перерабатываемого медного концентрата ОРФ ¦ т/год ¦ 74516,60»</w:t>
            </w:r>
          </w:p>
          <w:p>
            <w:r>
              <w:rPr>
                <w:color w:val="666666"/>
                <w:sz w:val="18"/>
              </w:rPr>
              <w:t xml:space="preserve">ИД ч.1, табл. 23, поз. 60, строка 549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годовой поток концентрата в одной таблице: 74528 т (поз. 2, откуда и 9,0 т/ч) и 74516,60 т (поз. 60). Той же линии — «концентрата на фильтрацию 73496,0» (поз. 44) против «на обжиг 73492,02» (поз. 62). ТЗ (строка 123) и текст ИД (строка 352) дают 74517/74516,6 т. Разница мала, но для балансов и увязки с участком сгущения нужна одна цифра.</w:t>
      </w:r>
    </w:p>
    <w:p>
      <w:r>
        <w:rPr>
          <w:b/>
        </w:rPr>
        <w:t xml:space="preserve">Вопрос Заказчику: </w:t>
      </w:r>
      <w:r>
        <w:t xml:space="preserve">Какое количество концентрата ОРФ принимать базовым: 74516,6 т/год (текст ИД и ТЗ) или 74528 т/год (табл. 23 поз. 2)?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C-21. </w:t>
      </w:r>
      <w:r>
        <w:rPr>
          <w:b/>
        </w:rPr>
        <w:t xml:space="preserve">Давление пара котла-утилизатора: 1,8 / 1,9 / 1,863 МПа в трёх местах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 температуре охлаждаемого газа до 12000С и давлении пара 1,8 МПа подпиточная вода должна отвечать следующим характеристикам»</w:t>
            </w:r>
          </w:p>
          <w:p>
            <w:r>
              <w:rPr>
                <w:color w:val="666666"/>
                <w:sz w:val="18"/>
              </w:rPr>
              <w:t xml:space="preserve">ИД ч.1, п. 1.3.10, строка 346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«Котел-утилизатор вырабатывает перегретый пар с давлением 1,9 МПа и температурой 3750С»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Давление перегретого пара одного и того же котла-утилизатора: 1,8 МПа (п. 1.3.10), 1,9 МПа (разд. 2.5 и табл. 26) и 1,863 МПа «не более» (табл. 23 поз. 267, строка 914). Влияет на нормы качества питательной воды по РД 24.032.01-91, характеристики котла и РОУ в опросных листах.</w:t>
      </w:r>
    </w:p>
    <w:p>
      <w:r>
        <w:rPr>
          <w:b/>
        </w:rPr>
        <w:t xml:space="preserve">Вопрос Заказчику: </w:t>
      </w:r>
      <w:r>
        <w:t xml:space="preserve">Какое рабочее давление перегретого пара котла-утилизатора принять единым по документу: 1,8, 1,863 или 1,9 МПа?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C-22. </w:t>
      </w:r>
      <w:r>
        <w:rPr>
          <w:b/>
        </w:rPr>
        <w:t xml:space="preserve">Состав пыли (вспомогательный вариант): в тексте Cu 67,57 %, в итогах таблицы 11 — 67,76 %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вспомогательного варианта: 67,57 Cu, 3,76 Ni, 0,17 Co, 4,71 Fe, 1,60 S, 0,019 Cl.»</w:t>
            </w:r>
          </w:p>
          <w:p>
            <w:r>
              <w:rPr>
                <w:color w:val="666666"/>
                <w:sz w:val="18"/>
              </w:rPr>
              <w:t xml:space="preserve">ИД ч.1, п. 1.2.2, строка 155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3,76 ¦ 67,76 ¦ 0,17 ¦ 4,71 ¦ 1,60»</w:t>
            </w:r>
          </w:p>
          <w:p>
            <w:r>
              <w:rPr>
                <w:color w:val="666666"/>
                <w:sz w:val="18"/>
              </w:rPr>
              <w:t xml:space="preserve">ИД ч.1, табл. 11, итоговая строка, строка 184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итоговой строке табл. 11 Cu 67,76 % — цифра основного варианта; сумма самой таблицы по колонке Cu (2,57+1,88+63,09+0,033) даёт 67,57 %, как в тексте и в табл. 23 поз. 253 (67,567). Итоговую строку табл. 11 надо исправить, чтобы балансы по меди для гидрометаллургии сходились.</w:t>
      </w:r>
    </w:p>
    <w:p>
      <w:r>
        <w:rPr>
          <w:b/>
        </w:rPr>
        <w:t xml:space="preserve">Вопрос Заказчику: </w:t>
      </w:r>
      <w:r>
        <w:t xml:space="preserve">Подтвердите содержание меди в обжиговой пыли по вспомогательному варианту — 67,57 % (текст, табл. 23), а 67,76 % в итогах табл. 11 — опечатка?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C-23. </w:t>
      </w:r>
      <w:r>
        <w:rPr>
          <w:b/>
        </w:rPr>
        <w:t xml:space="preserve">Сера в пыли котла-утилизатора (вспомогательный вариант): 1,43 % в тексте против 2,15 % в таблице 13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пылесборнике котла-утилизатора – 2,15 (1,43), одиночного циклона – 2,27 (1,51), электрофильтра: 3,44 (2,29) %»</w:t>
            </w:r>
          </w:p>
          <w:p>
            <w:r>
              <w:rPr>
                <w:color w:val="666666"/>
                <w:sz w:val="18"/>
              </w:rPr>
              <w:t xml:space="preserve">ИД ч.1, п. 1.2.2, строка 156 файла (в скобках — вспомогательный вариант)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3,57 ¦ 69,05 ¦ 0,16 ¦ 4,29 ¦ 2,15 ¦ 0,05»</w:t>
            </w:r>
          </w:p>
          <w:p>
            <w:r>
              <w:rPr>
                <w:color w:val="666666"/>
                <w:sz w:val="18"/>
              </w:rPr>
              <w:t xml:space="preserve">ИД ч.1, табл. 13 (вспомогательный вариант), итоговая строка, строка 212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итогах табл. 13 для вспомогательного варианта S=2,15 % — значение основного варианта; сумма серы по её же строкам 1,38+0,05=1,43 %, как в тексте. Третье значение даёт табл. 23 поз. 285 — 1,494 %. Содержание серы в «грубой» пыли определяет сульфатную нагрузку на выщелачивание.</w:t>
      </w:r>
    </w:p>
    <w:p>
      <w:r>
        <w:rPr>
          <w:b/>
        </w:rPr>
        <w:t xml:space="preserve">Вопрос Заказчику: </w:t>
      </w:r>
      <w:r>
        <w:t xml:space="preserve">Какое содержание серы в пыли котла-утилизатора по вспомогательному варианту верно: 1,43 % (текст/суммы табл. 13), 1,494 % (табл. 23) или 2,15 % (итог табл. 13)?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C-24. </w:t>
      </w:r>
      <w:r>
        <w:rPr>
          <w:b/>
        </w:rPr>
        <w:t xml:space="preserve">Влажность кека концентрата после фильтрации: 9-11 % против 10-15 %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«Влажность концентрата, поступающего на обжиг, составляет 9-11 %. Для расчетов принимается среднее значение: 10 %.»</w:t>
            </w:r>
          </w:p>
          <w:p>
            <w:r>
              <w:rPr>
                <w:color w:val="666666"/>
                <w:sz w:val="18"/>
              </w:rPr>
              <w:t xml:space="preserve">ИД ч.1, п. 1.1.1, строка 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«Обезвоженный медный концентрат (кек) с остаточной влажностью 10-15 % с барабанных фильтров разгружается на ленточные конвейеры»</w:t>
            </w:r>
          </w:p>
          <w:p>
            <w:r>
              <w:rPr>
                <w:color w:val="666666"/>
                <w:sz w:val="18"/>
              </w:rPr>
              <w:t xml:space="preserve">ИД ч.1, п. 2.1, строка 357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 один и тот же кек с барабанных вакуум-фильтров: п. 1.1.1 и табл. 23 (поз. 47 — 10 %, поз. 70 — 9-11 %) и ТЗ (строка 127 — 10 %) против 10-15 % в п. 2.1. При 15 % влаги тепловой баланс печи и расход тепла на испарение (14 % расхода тепла) существенно уходят от расчёта.</w:t>
      </w:r>
    </w:p>
    <w:p>
      <w:r>
        <w:rPr>
          <w:b/>
        </w:rPr>
        <w:t xml:space="preserve">Вопрос Заказчику: </w:t>
      </w:r>
      <w:r>
        <w:t xml:space="preserve">Какая гарантируемая влажность кека медного концентрата после барабанных фильтров: 9-11 % (расчёт 10 %) или 10-15 %?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C-25. </w:t>
      </w:r>
      <w:r>
        <w:rPr>
          <w:b/>
        </w:rPr>
        <w:t xml:space="preserve">Запылённость газа после котла-утилизатора: 110-130 против 110-125 г/нм3 в соседних абзацах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газа на выходе из котла составляет 4000С, запыленность – 110-130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449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«после чего запыленность газа снижается со 110-125 до 20-35 г/нм3»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газ на входе в циклон: 110-130 г/нм3 в описании котла и 110-125 г/нм3 в описании циклона; расчётная табл. 23 (поз. 277) даёт 127,1 г/нм3 — за пределами второго диапазона. Мелочь, но диапазон входит в исходные требования на циклон.</w:t>
      </w:r>
    </w:p>
    <w:p>
      <w:r>
        <w:rPr>
          <w:b/>
        </w:rPr>
        <w:t xml:space="preserve">Вопрос Заказчику: </w:t>
      </w:r>
      <w:r>
        <w:t xml:space="preserve">Уточните запылённость газа на входе в одиночный циклон: 110-130 или 110-125 г/нм3 (расчёт даёт 127,1)?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C-26. </w:t>
      </w:r>
      <w:r>
        <w:rPr>
          <w:b/>
        </w:rPr>
        <w:t xml:space="preserve">Арифметика таблицы 26: 2,2×7920 = 23760 в одной строке и 17424 в другой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«шлюзовый затвор выгрузки пылевого бункера ¦ 1 ¦  ¦  ¦ 380 ¦ 2,2×7920=23760 ¦ 23760/71264=0,333»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«Очистка газа от пыли в одиночном циклоне», строка 1585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«виброразгружатель ¦ 1 ¦  ¦  ¦ 380 ¦ 2,2×7920=17424 ¦ 17424/71264=0,244»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«Накопление и бункеровка огарка...», строка 1613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Одно и то же произведение 2,2×7920 в одной таблице равно 23760 (неверно, скопировано от затвора котла с 3 кВт) и 17424 (верно). Ошибка тянется в удельный расход (0,333 вместо 0,245) и ставит под сомнение итог электроэнергии 1524392 кВт·ч.</w:t>
      </w:r>
    </w:p>
    <w:p>
      <w:r>
        <w:rPr>
          <w:b/>
        </w:rPr>
        <w:t xml:space="preserve">Вопрос Заказчику: </w:t>
      </w:r>
      <w:r>
        <w:t xml:space="preserve">Просьба исправить строку затвора циклона в табл. 26 (2,2×7920=17424, удельный 0,245) и пересчитать итог электроэнергии по цеху.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C-27. </w:t>
      </w:r>
      <w:r>
        <w:rPr>
          <w:b/>
        </w:rPr>
        <w:t xml:space="preserve">Расход мазута на горелку разогрева 0,975 т/ч превышает паспорт МГМГ-10 (до 940 кг/ч)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«горелки МГМГ-10 производства ООО “Барнаульский завод энергетического оборудования” производительностью по мазуту до 940 кг/час»</w:t>
            </w:r>
          </w:p>
          <w:p>
            <w:r>
              <w:rPr>
                <w:color w:val="666666"/>
                <w:sz w:val="18"/>
              </w:rPr>
              <w:t xml:space="preserve">ИД ч.1, п. 2.4, строка 428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«Мазут М100 на разогрев печи, т ¦  ¦ содержание серы до 3,5 % ¦  ¦ 0,975×3×16×10=468»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«Обжиг шихты в печи КС», строка 1574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Норма расхода посчитана из 0,975 т/ч на каждую из 3 горелок, что выше паспортной производительности МГМГ-10 (0,940 т/ч). Либо число горелок/время разогрева, либо паспортная производительность в опросном листе должны быть скорректированы.</w:t>
      </w:r>
    </w:p>
    <w:p>
      <w:r>
        <w:rPr>
          <w:b/>
        </w:rPr>
        <w:t xml:space="preserve">Вопрос Заказчику: </w:t>
      </w:r>
      <w:r>
        <w:t xml:space="preserve">Подтвердите расход мазута на горелку разогрева: 0,940 т/ч по паспорту МГМГ-10 или 0,975 т/ч, принятые в табл. 26?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C-28. </w:t>
      </w:r>
      <w:r>
        <w:rPr>
          <w:b/>
        </w:rPr>
        <w:t xml:space="preserve">Высота расширяющейся части печи: 6450 мм в тексте против 6448 мм в таблице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6450 мм»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417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«высота расширяющейся части печи ¦ мм ¦ 6448»</w:t>
            </w:r>
          </w:p>
          <w:p>
            <w:r>
              <w:rPr>
                <w:color w:val="666666"/>
                <w:sz w:val="18"/>
              </w:rPr>
              <w:t xml:space="preserve">ИД ч.1, табл. 23, поз. 214, строка 779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Разница 2 мм непринципиальна, но это один и тот же геометрический размер печи КС в двух местах одного документа — в исходных требованиях на печь должна остаться одна цифра.</w:t>
      </w:r>
    </w:p>
    <w:p>
      <w:r>
        <w:rPr>
          <w:b/>
        </w:rPr>
        <w:t xml:space="preserve">Вопрос Заказчику: </w:t>
      </w:r>
      <w:r>
        <w:t xml:space="preserve">Какую высоту расширяющейся части печи КС фиксировать в исходных требованиях: 6448 или 6450 мм?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C-29. </w:t>
      </w:r>
      <w:r>
        <w:rPr>
          <w:b/>
        </w:rPr>
        <w:t xml:space="preserve">Годовая шихта: 107917 т в тексте против 106892 т в балансе (таблица 22)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«годовую производительность по шихте на основе медного концентрата от разделения файнштейна, содержащей помимо концентрата медный кек NNH и цементную медь, равную 107917 т, что соответствует 71952 т меди»</w:t>
            </w:r>
          </w:p>
          <w:p>
            <w:r>
              <w:rPr>
                <w:color w:val="666666"/>
                <w:sz w:val="18"/>
              </w:rPr>
              <w:t xml:space="preserve">ИД ч.1, разд. 2, строка 352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«Итого приход ¦ 106892»</w:t>
            </w:r>
          </w:p>
          <w:p>
            <w:r>
              <w:rPr>
                <w:color w:val="666666"/>
                <w:sz w:val="18"/>
              </w:rPr>
              <w:t xml:space="preserve">ИД ч.1, табл. 22, строка «Итого приход», строка 367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107917 т и 71952 т меди включают 1024,6 т концентрата, который перерабатывается в ГМУ без обжига и в шихту не входит; в печь по балансу идёт 106892 т с 71264 т меди. Формулировка «производительность по шихте» с цифрой 107917 вводит в заблуждение при расчёте печи и балансов.</w:t>
      </w:r>
    </w:p>
    <w:p>
      <w:r>
        <w:rPr>
          <w:b/>
        </w:rPr>
        <w:t xml:space="preserve">Вопрос Заказчику: </w:t>
      </w:r>
      <w:r>
        <w:t xml:space="preserve">Подтвердите: производительность линии обжига по шихте — 106892 т/год (71264 т меди), а 107917 т — весь поток сырья, включая 1025 т мимо печи?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C-30. </w:t>
      </w:r>
      <w:r>
        <w:rPr>
          <w:b/>
        </w:rPr>
        <w:t xml:space="preserve">Пыль в СКЦ: 14 т/год (таблица 22) не сходится с 1,319 кг/ч (таблица 23)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«Пыль в СКЦ ¦ 14 ¦ 0,013»</w:t>
            </w:r>
          </w:p>
          <w:p>
            <w:r>
              <w:rPr>
                <w:color w:val="666666"/>
                <w:sz w:val="18"/>
              </w:rPr>
              <w:t xml:space="preserve">ИД ч.1, табл. 22, строка 8 (основной вариант), строка 373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«373 ¦ Общее количество ¦ кг/ч ¦ 1,319 ¦ 2,184»</w:t>
            </w:r>
          </w:p>
          <w:p>
            <w:r>
              <w:rPr>
                <w:color w:val="666666"/>
                <w:sz w:val="18"/>
              </w:rPr>
              <w:t xml:space="preserve">ИД ч.1, табл. 23, поз. 373, строка 1121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1,319 кг/ч × 7920 ч = 10,4 т/год против 14 т/год в балансе; по вспомогательному варианту цифры сходятся (2,184 кг/ч — это 15,04 т/год с коэффициентом запаса 1,15). Значение 1,319 совпадает с потоком пыли котла-утилизатора (поз. 284, т/ч) и похоже на копипаст. Пыль в СКЦ — исходное требование для сернокислотчиков.</w:t>
      </w:r>
    </w:p>
    <w:p>
      <w:r>
        <w:rPr>
          <w:b/>
        </w:rPr>
        <w:t xml:space="preserve">Вопрос Заказчику: </w:t>
      </w:r>
      <w:r>
        <w:t xml:space="preserve">Уточните унос пыли в СКЦ по основному варианту: 14 т/год (~2,03 кг/ч с запасом) или 1,319 кг/ч из табл. 23?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C-31. </w:t>
      </w:r>
      <w:r>
        <w:rPr>
          <w:b/>
        </w:rPr>
        <w:t xml:space="preserve">ТЗ: при круглосуточном режиме дни и часы не сходятся (345 дн ≠ 8322 ч; 358 дн ≠ 8585 ч)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345 дней в году, 8322 рабочих часов»</w:t>
            </w:r>
          </w:p>
          <w:p>
            <w:r>
              <w:rPr>
                <w:color w:val="666666"/>
                <w:sz w:val="18"/>
              </w:rPr>
              <w:t xml:space="preserve">ТЗ, п. 4.4 (Лот №2), строка 275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«круглосуточный, 358 дней в году, 8585 рабочих часов»</w:t>
            </w:r>
          </w:p>
          <w:p>
            <w:r>
              <w:rPr>
                <w:color w:val="666666"/>
                <w:sz w:val="18"/>
              </w:rPr>
              <w:t xml:space="preserve">ТЗ, п. 5.3 (Лот №3), строка 356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345×24 = 8280, а не 8322; 358×24 = 8592, а не 8585 (для Цеха обжига 330×24 = 7920 сходится). Часы соответствуют 95 % и 98 % календарного фонда 8760 ч, дни округлены отдельно. Для расчёта производительности оборудования Лотов №2 и №3 нужна одна из двух цифр.</w:t>
      </w:r>
    </w:p>
    <w:p>
      <w:r>
        <w:rPr>
          <w:b/>
        </w:rPr>
        <w:t xml:space="preserve">Вопрос Заказчику: </w:t>
      </w:r>
      <w:r>
        <w:t xml:space="preserve">Что первично для Лотов №2 и №3 — дни (345/358) или годовые часы (8322/8585), и какую пару значений фиксировать в БИ?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C-32. </w:t>
      </w:r>
      <w:r>
        <w:rPr>
          <w:b/>
        </w:rPr>
        <w:t xml:space="preserve">Диапазон дымососа 19000-78000: в тексте нм3/час, в таблице — м3/ч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широкой области полных давлений 1650-7800 Па и объемных скоростей 19000-78000 нм3/час»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«383 ¦ Диапазон рабочей производительности по перемещаемому газу ¦ м3/ч ¦ 19000-78000»</w:t>
            </w:r>
          </w:p>
          <w:p>
            <w:r>
              <w:rPr>
                <w:color w:val="666666"/>
                <w:sz w:val="18"/>
              </w:rPr>
              <w:t xml:space="preserve">ИД ч.1, табл. 23, поз. 383, строка 1152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Один и тот же каталожный диапазон дымососа ДН-15БНЖ приведён с разными единицами: нормальные и рабочие кубометры при ~390 °C различаются в ~2,4 раза. От единиц зависит, проходит ли дымосос по производительности с запасом или впритык.</w:t>
      </w:r>
    </w:p>
    <w:p>
      <w:r>
        <w:rPr>
          <w:b/>
        </w:rPr>
        <w:t xml:space="preserve">Вопрос Заказчику: </w:t>
      </w:r>
      <w:r>
        <w:t xml:space="preserve">В каких единицах указан каталожный диапазон дымососа ДН-15БНЖ (19000-78000) — нм3/час или рабочих м3/ч?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C-33. </w:t>
      </w:r>
      <w:r>
        <w:rPr>
          <w:b/>
        </w:rPr>
        <w:t xml:space="preserve">Таблица 26: в графе кВт·ч для конвейеров стоят числа производительностей м3/ч из таблицы 23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«109 ¦ Производительность транспортера ¦ м3/ч ¦ до 18,4»</w:t>
            </w:r>
          </w:p>
          <w:p>
            <w:r>
              <w:rPr>
                <w:color w:val="666666"/>
                <w:sz w:val="18"/>
              </w:rPr>
              <w:t xml:space="preserve">ИД ч.1, табл. 23, поз. 109 (конвейер УКВ-320-Ц-60), строка 661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«конвейер УКВ-320-Ц-60 ¦ 1 ¦  ¦  ¦ 380 ¦ 18,4×7920=145728»</w:t>
            </w:r>
          </w:p>
          <w:p>
            <w:r>
              <w:rPr>
                <w:color w:val="666666"/>
                <w:sz w:val="18"/>
              </w:rPr>
              <w:t xml:space="preserve">ИД ч.1, табл. 26, раздел «Бункеровка медного концентрата» (графа «Электричество по основным аппаратам, кВт·час»), строка 1541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всех четырёх конвейеров множитель в расчёте электроэнергии совпадает с производительностью в м3/ч из табл. 23 (18,4; 5,4 — строки 679/1546; 3,4 — 697/1551; 30 — 743/1562), то есть м3/ч, похоже, использованы как кВт. Годовой расход электроэнергии цеха может быть завышен/искажён.</w:t>
      </w:r>
    </w:p>
    <w:p>
      <w:r>
        <w:rPr>
          <w:b/>
        </w:rPr>
        <w:t xml:space="preserve">Вопрос Заказчику: </w:t>
      </w:r>
      <w:r>
        <w:t xml:space="preserve">Уточните установленные мощности (кВт) винтовых конвейеров УКВ в табл. 26 — числа совпадают с их производительностями в м3/ч из табл. 23.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C-34. </w:t>
      </w:r>
      <w:r>
        <w:rPr>
          <w:b/>
        </w:rPr>
        <w:t xml:space="preserve">«HATH International» против «HATCH» (и «проекта ОВЭ 150» при шифре ОВЭ-75)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«спроектирована специалистами инжиниринг-консалтинговой компанией HATCH»</w:t>
            </w:r>
          </w:p>
          <w:p>
            <w:r>
              <w:rPr>
                <w:color w:val="666666"/>
                <w:sz w:val="18"/>
              </w:rPr>
              <w:t xml:space="preserve">ИД ч.1, разд. 2.3, строка 415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«согласно рекомендациям специалистов компании HATH International, утвержденным рабочей группой проекта ОВЭ 150»</w:t>
            </w:r>
          </w:p>
          <w:p>
            <w:r>
              <w:rPr>
                <w:color w:val="666666"/>
                <w:sz w:val="18"/>
              </w:rPr>
              <w:t xml:space="preserve">ИД ч.1, разд. 6, строка 1496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Разработчик печи в одном месте — HATCH, в другом — «HATH International» (при этом шифр отчёта в той же фразе — OVE-D-HATCH-PM-REP-00003-R). Там же простои обоснованы рекомендациями «проекта ОВЭ 150» — уточнить, ссылка ли это на прежний проект ОВЭ-150 или опечатка вместо ОВЭ-75: от этого зависит применимость нормативов простоев 336/510 ч.</w:t>
      </w:r>
    </w:p>
    <w:p>
      <w:r>
        <w:rPr>
          <w:b/>
        </w:rPr>
        <w:t xml:space="preserve">Вопрос Заказчику: </w:t>
      </w:r>
      <w:r>
        <w:t xml:space="preserve">Подтвердите написание компании (HATCH) и применимость к ОВЭ-75 рекомендаций по простоям из отчёта OVE-D-HATCH-PM-REP-00003-R, выпущенного для «ОВЭ 150».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C-35. </w:t>
      </w:r>
      <w:r>
        <w:rPr>
          <w:b/>
        </w:rPr>
        <w:t xml:space="preserve">«Обжиговая медь» вместо обжиговой пыли в перечне оборотных материалов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«Бункеровка оборотных материалов (огарок для запуска печи и пыль, собираемая в пылесборнике электрофильтра)»</w:t>
            </w:r>
          </w:p>
          <w:p>
            <w:r>
              <w:rPr>
                <w:color w:val="666666"/>
                <w:sz w:val="18"/>
              </w:rPr>
              <w:t xml:space="preserve">ИД ч.1, табл. 23, заголовок раздела, строка 700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линия оборотных материалов (огарок / обжиговая медь):»</w:t>
            </w:r>
          </w:p>
          <w:p>
            <w:r>
              <w:rPr>
                <w:color w:val="666666"/>
                <w:sz w:val="18"/>
              </w:rPr>
              <w:t xml:space="preserve">ИД ч.1, разд. 5 (НЗП), строка 1364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Продукта «обжиговая медь» в технологии нет: оборотные материалы — огарок и обжиговая пыль электрофильтра. Опечатка в перечне НЗП может быть прочитана как отдельный продукт при расчёте незавершённого производства.</w:t>
      </w:r>
    </w:p>
    <w:p>
      <w:r>
        <w:rPr>
          <w:b/>
        </w:rPr>
        <w:t xml:space="preserve">Вопрос Заказчику: </w:t>
      </w:r>
      <w:r>
        <w:t xml:space="preserve">Подтвердите, что в перечне НЗП «обжиговая медь» следует читать как «обжиговая пыль» (пыль электрофильтра).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C-36. </w:t>
      </w:r>
      <w:r>
        <w:rPr>
          <w:b/>
        </w:rPr>
        <w:t xml:space="preserve">В ИД ч.1 отсутствует таблица 7: нумерация перескакивает с 6 на 8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6 – Гранулометрический состав цементной меди»</w:t>
            </w:r>
          </w:p>
          <w:p>
            <w:r>
              <w:rPr>
                <w:color w:val="666666"/>
                <w:sz w:val="18"/>
              </w:rPr>
              <w:t xml:space="preserve">ИД ч.1, п. 1.1.3, строка 116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8 – Рациональный (вещественный) состав огарка»</w:t>
            </w:r>
          </w:p>
          <w:p>
            <w:r>
              <w:rPr>
                <w:color w:val="666666"/>
                <w:sz w:val="18"/>
              </w:rPr>
              <w:t xml:space="preserve">ИД ч.1, п. 1.2.1, строка 129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7 в документе нет, ссылок на неё тоже (проверено поиском). Непонятно, пропущен только номер или выпала целая таблица (например, состав шихты между сырьём и огарком) — надо восстановить или перенумеровать.</w:t>
      </w:r>
    </w:p>
    <w:p>
      <w:r>
        <w:rPr>
          <w:b/>
        </w:rPr>
        <w:t xml:space="preserve">Вопрос Заказчику: </w:t>
      </w:r>
      <w:r>
        <w:t xml:space="preserve">Пропущена ли в ИД ч.1 таблица 7 по содержанию (какая?) или это сбой нумерации, который следует устранить?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C-37. </w:t>
      </w:r>
      <w:r>
        <w:rPr>
          <w:b/>
        </w:rPr>
        <w:t xml:space="preserve">Ссылка «состав продувочной воды приведён в п. 1.3.10» — в п. 1.3.10 состава нет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продувочной воды приведен в п.1.3.10.»</w:t>
            </w:r>
          </w:p>
          <w:p>
            <w:r>
              <w:rPr>
                <w:color w:val="666666"/>
                <w:sz w:val="18"/>
              </w:rPr>
              <w:t xml:space="preserve">ИД ч.1, разд. 2.5, строка 452 файла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«1.3.10 Вода»</w:t>
            </w:r>
          </w:p>
          <w:p>
            <w:r>
              <w:rPr>
                <w:color w:val="666666"/>
                <w:sz w:val="18"/>
              </w:rPr>
              <w:t xml:space="preserve">ИД ч.1, п. 1.3.10 (заголовок), строка 344 файла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П. 1.3.10 описывает оборотную воду и требования к подпиточной воде котла (жёсткость, кислород, pH, нефтепродукты), состава продувочной воды там нет. Ссылка битая; состав продувки нужен для проектирования утилизации стоков.</w:t>
      </w:r>
    </w:p>
    <w:p>
      <w:r>
        <w:rPr>
          <w:b/>
        </w:rPr>
        <w:t xml:space="preserve">Вопрос Заказчику: </w:t>
      </w:r>
      <w:r>
        <w:t xml:space="preserve">Приведите состав продувочной воды котла-утилизатора или исправьте ссылку п. 2.5 на действительный пункт.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C-56. </w:t>
      </w:r>
      <w:r>
        <w:rPr>
          <w:b/>
        </w:rPr>
        <w:t xml:space="preserve">Битая ссылка: фильтр-прессы песков названы «поз. 1.1.29» вместо 4.1.29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«Пески сгустителя через промежуточный сборник (на рис. 4.1 не показан) передаются на фильтрацию и промывку на фильтр-прессы поз. 1.1.29…»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449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«Кек выгрузки фильтр-прессов поз. 4.1.29 передается на передел флотации…»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Позиции 1.1.29 не существует — опечатка от 4.1.29 (первая цифра).</w:t>
      </w:r>
    </w:p>
    <w:p>
      <w:r>
        <w:rPr>
          <w:b/>
        </w:rPr>
        <w:t xml:space="preserve">Вопрос Заказчику: </w:t>
      </w:r>
      <w:r>
        <w:t xml:space="preserve">Поправить на 4.1.29.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C-57. </w:t>
      </w:r>
      <w:r>
        <w:rPr>
          <w:b/>
        </w:rPr>
        <w:t xml:space="preserve">Опечатка в номере позиции: «поз. 4,1.22» (запятая) вместо 4.1.22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чистого фильтрата из промежуточной емкости поз. 4.1.19 через бак поз. 4.1.22 поступает в выносной теплообменник первой ступени вакуумной кристаллизации медного купороса…»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452 (также «из бака поз. 4.1.22», строка 477)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Запятая вместо точки в номере позиции; при автоматическом разборе спецификаций ссылка теряется.</w:t>
      </w:r>
    </w:p>
    <w:p>
      <w:r>
        <w:rPr>
          <w:b/>
        </w:rPr>
        <w:t xml:space="preserve">Вопрос Заказчику: </w:t>
      </w:r>
      <w:r>
        <w:t xml:space="preserve">Поправить на 4.1.22.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C-58. </w:t>
      </w:r>
      <w:r>
        <w:rPr>
          <w:b/>
        </w:rPr>
        <w:t xml:space="preserve">Таблица 1.1 катодной меди: в заголовке и тексте ГОСТ 859-2014, в шапке той же таблицы — ГОСТ 859-2001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1.1 – Требования ГОСТ 859-2014 и ожидаемый химический состав катодной меди, %»</w:t>
            </w:r>
          </w:p>
          <w:p>
            <w:r>
              <w:rPr>
                <w:color w:val="666666"/>
                <w:sz w:val="18"/>
              </w:rPr>
              <w:t xml:space="preserve">ИД ч.2, строка 83 (и текст: «…высшей марки М00к по ГОСТ 859-2014», строка 82)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«Примеси, не более ¦ ГОСТ 859-2001(1) ¦ Ожидаемые значения»</w:t>
            </w:r>
          </w:p>
          <w:p>
            <w:r>
              <w:rPr>
                <w:color w:val="666666"/>
                <w:sz w:val="18"/>
              </w:rPr>
              <w:t xml:space="preserve">ИД ч.2, табл. 1.1, шапка, строка 85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Две редакции стандарта в одной таблице; нормативы примесей и примечание о суммах (строка 107) должны соответствовать одной редакции. На табл. 1.1 ссылается ТЗ как на требование к продукции Лотов 3 и 4 (строки 308, 312, 388).</w:t>
      </w:r>
    </w:p>
    <w:p>
      <w:r>
        <w:rPr>
          <w:b/>
        </w:rPr>
        <w:t xml:space="preserve">Вопрос Заказчику: </w:t>
      </w:r>
      <w:r>
        <w:t xml:space="preserve">Привести таблицу к одной (актуальной) редакции ГОСТ 859 и пересверить нормы.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C-59. </w:t>
      </w:r>
      <w:r>
        <w:rPr>
          <w:b/>
        </w:rPr>
        <w:t xml:space="preserve">Сейсмика в Прил. В: ОСР-97 и СП 14.13330.2009 в характеристике площадки против СП 14.13330.2018 в перечне норм (в ТЗ — ОСР-2015)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«Сейсмическая интенсивность в пункте размещения согласно комплекта карт ОСР-97 (СП 14.13330.2009) ¦ балл ¦ 6»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1243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«…СП 14.13330.2018 Свод правил «Строительство в сейсмичных районах».»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8.1, строка 1343 (в ТЗ: «Сейсмичность для г. Мончегорска по карте ОСР-2015-В составляет 6 баллов», строка 108)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Внутри одного документа две редакции свода правил и устаревший комплект карт; балл (6) совпадает, но нормативная база для расчёта ванн должна быть одна.</w:t>
      </w:r>
    </w:p>
    <w:p>
      <w:r>
        <w:rPr>
          <w:b/>
        </w:rPr>
        <w:t xml:space="preserve">Вопрос Заказчику: </w:t>
      </w:r>
      <w:r>
        <w:t xml:space="preserve">Указать действующие ОСР-2015/СП 14.13330 (актуальная редакция) во всех разделах Прил. 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C-60. </w:t>
      </w:r>
      <w:r>
        <w:rPr>
          <w:b/>
        </w:rPr>
        <w:t xml:space="preserve">Климатические параметры площадки: Прил. В и ТЗ дают разные температуры холодных суток/пятидневки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наружного воздуха:…средняя самых холодных суток;средняя самой холодной пятидневки;… ¦ 0,6минус 41минус 32минус 4,5минус 11,3»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3, строка 1241 (сутки −41; пятидневка −32; абс. минимум −44,0, строка 1242)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«Температура воздуха наиболее холодных суток, с обеспеченностью 0,98 равна -40 °С. … Температура воздуха наиболее холодной пятидневки, с обеспеченностью 0,98 равна -34 °С. … с обеспеченностью 0,92 равна -30 °С.»</w:t>
            </w:r>
          </w:p>
          <w:p>
            <w:r>
              <w:rPr>
                <w:color w:val="666666"/>
                <w:sz w:val="18"/>
              </w:rPr>
              <w:t xml:space="preserve">ТЗ v3.6, п. 2.10.1, строки 99-100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Разные источники климатологии: −41/−32 (Дельта) против −40/−34(−30) (ТЗ). Для транспортировки/хранения ванн в северном исполнении (УХЛ3) параметры должны совпадать.</w:t>
      </w:r>
    </w:p>
    <w:p>
      <w:r>
        <w:rPr>
          <w:b/>
        </w:rPr>
        <w:t xml:space="preserve">Вопрос Заказчику: </w:t>
      </w:r>
      <w:r>
        <w:t xml:space="preserve">Принять единые данные по СП 131.13330 для Мончегорска и поправить один из документов.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C-61. </w:t>
      </w:r>
      <w:r>
        <w:rPr>
          <w:b/>
        </w:rPr>
        <w:t xml:space="preserve">Прил. В: «Удельная плотность электролита ¦ м3/кг ¦ 1200» — размерность перевёрнута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«Удельная плотность электролита ¦ м3/кг ¦ 1200»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5.3, строка 1296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электролита ¦ т/м3 ¦ 1,2»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5.1.1, строка 1261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Должно быть 1200 кг/м3 (=1,2 т/м3); в текущем виде «1200 м3/кг» — бессмыслица в документе, идущем поставщику.</w:t>
      </w:r>
    </w:p>
    <w:p>
      <w:r>
        <w:rPr>
          <w:b/>
        </w:rPr>
        <w:t xml:space="preserve">Вопрос Заказчику: </w:t>
      </w:r>
      <w:r>
        <w:t xml:space="preserve">Поправить размерность на кг/м3.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C-62. </w:t>
      </w:r>
      <w:r>
        <w:rPr>
          <w:b/>
        </w:rPr>
        <w:t xml:space="preserve">Прил. В: плотность тока в А/м3 вместо А/м2 (280 и 420)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– максимальная рабочая ¦ А/м3 ¦ 280; Плотность тока – максимальная (для ванны, в процесса изъятия катодов) ¦ А/м3 ¦ 420»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5.5, строки 1320-1321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«Плотность тока номинальная ¦ 280 ¦ А/м2»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417 (и Прил. В, строка 1264: «Плотность тока ¦ А/м2 ¦ 280»)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Размерность А/м3 ошибочна; кроме того 280 в одном месте названа «номинальной», в другом «максимальной рабочей» — при выгрузке 1/3 катодов плотность растёт до 420 А/м2, т.е. 280 именно номинал.</w:t>
      </w:r>
    </w:p>
    <w:p>
      <w:r>
        <w:rPr>
          <w:b/>
        </w:rPr>
        <w:t xml:space="preserve">Вопрос Заказчику: </w:t>
      </w:r>
      <w:r>
        <w:t xml:space="preserve">Поправить размерности и терминологию (номинальная 280, максимальная 420 А/м2).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C-63. </w:t>
      </w:r>
      <w:r>
        <w:rPr>
          <w:b/>
        </w:rPr>
        <w:t xml:space="preserve">Режим работы ванн: 8760 ч/год в Прил. В против 8584,8 ч/год (КИО 98%) в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оборудования, ч/год ¦ 8760»</w:t>
            </w:r>
          </w:p>
          <w:p>
            <w:r>
              <w:rPr>
                <w:color w:val="666666"/>
                <w:sz w:val="18"/>
              </w:rPr>
              <w:t xml:space="preserve">ИД ч.2, Приложение В (ДЕЛЬТА, ванны), разд. 2, строка 1237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«Машинное время работы ванн ¦ 8584,8 ¦ ч/год»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415 (и строка 259: «8584,8 часов … соответствует КИО 98%»)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Дельта закладывает непрерывную работу (8760), ИД — 8584,8 ч с КИО 98%. Для ресурса ванн некритично, но как расчётная база производительности — расхождение.</w:t>
      </w:r>
    </w:p>
    <w:p>
      <w:r>
        <w:rPr>
          <w:b/>
        </w:rPr>
        <w:t xml:space="preserve">Вопрос Заказчику: </w:t>
      </w:r>
      <w:r>
        <w:t xml:space="preserve">Указать в Прил. В расчётное машинное время 8584,8 ч (или пометить 8760 как режим готовности).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C-64. </w:t>
      </w:r>
      <w:r>
        <w:rPr>
          <w:b/>
        </w:rPr>
        <w:t xml:space="preserve">Маточник-2 в ЦЭН: три места дают разные проценты разбавления и температуры транспортировки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«Раствор насыщен при 20-25 0С, поэтому для исключения кристаллизации при транспортировке, рекомендуется транспортировать его при повышенной температуре, либо предварительно разбавив водой на 10-15%.»</w:t>
            </w:r>
          </w:p>
          <w:p>
            <w:r>
              <w:rPr>
                <w:color w:val="666666"/>
                <w:sz w:val="18"/>
              </w:rPr>
              <w:t xml:space="preserve">ИД ч.2, п. 1.4.2.2, строка 220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«Направляемый в ЦЭН из бака поз. 4.1.26 маточник 2 близок к насыщению по солям при температуре 20-300С. Поэтому при его транспортировке в ЦЭН следует обеспечить температуру раствора не ниже 30-400С, либо разбавить его водой на 15-20% и не допускать охлаждения ниже 15-200С.»</w:t>
            </w:r>
          </w:p>
          <w:p>
            <w:r>
              <w:rPr>
                <w:color w:val="666666"/>
                <w:sz w:val="18"/>
              </w:rPr>
              <w:t xml:space="preserve">ИД ч.2, разд. 4.2.1, строка 526 (третий вариант в разд. 2.3, строка 244: «…исключить его охлаждение при хранении и транспортировки ниже температуры 25-300С»)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одного и того же раствора: разбавление 10-15% против 15-20%; насыщение при 20-25 °С против 20-30 °С; минимальная температура 25-30 °С против 30-40 °С. Требования к обогреву трассы в ЦЭН неоднозначны.</w:t>
      </w:r>
    </w:p>
    <w:p>
      <w:r>
        <w:rPr>
          <w:b/>
        </w:rPr>
        <w:t xml:space="preserve">Вопрос Заказчику: </w:t>
      </w:r>
      <w:r>
        <w:t xml:space="preserve">Свести к одному набору значений (насыщение, разбавление, мин. температура) во всех трёх разделах.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C-65. </w:t>
      </w:r>
      <w:r>
        <w:rPr>
          <w:b/>
        </w:rPr>
        <w:t xml:space="preserve">Состав медного купороса: ТЗ даёт Cu 25,7% и Co 0,02% — вне диапазонов табл. 3.1 ИД (Cu 24-25; Co 0,008-0,012)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 медного купороса, принятый в расчетах, %: 25,7 Сu, 0,29 Ni, 0,02 Co, 0,04 Fe, 12,83 S.»</w:t>
            </w:r>
          </w:p>
          <w:p>
            <w:r>
              <w:rPr>
                <w:color w:val="666666"/>
                <w:sz w:val="18"/>
              </w:rPr>
              <w:t xml:space="preserve">ТЗ v3.6, п. 4.2, строка 237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«Состав медного купороса: … Cu ¦ 24-25 ¦ %; Ni ¦ 0,2-0,4 ¦ %; Fe ¦ 0,02-0,04 ¦ %; Co ¦ 0,008-0,012 ¦ %»</w:t>
            </w:r>
          </w:p>
          <w:p>
            <w:r>
              <w:rPr>
                <w:color w:val="666666"/>
                <w:sz w:val="18"/>
              </w:rPr>
              <w:t xml:space="preserve">ИД ч.2, табл. 3.1, строки 315-319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Cu 25,7 выше диапазона 24-25 (чистый CuSO4·5H2O — 25,5% Cu); Co 0,02 вдвое выше верхней границы 0,012 (возможно, в ТЗ значения Fe и Co взяты по строке Fe). Влияет на баланс меди при растворении купороса.</w:t>
      </w:r>
    </w:p>
    <w:p>
      <w:r>
        <w:rPr>
          <w:b/>
        </w:rPr>
        <w:t xml:space="preserve">Вопрос Заказчику: </w:t>
      </w:r>
      <w:r>
        <w:t xml:space="preserve">Уточнить, какой состав расчётный (табл. 5.5/5.6 против табл. 3.1), и поправить ТЗ или ИД.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C-66. </w:t>
      </w:r>
      <w:r>
        <w:rPr>
          <w:b/>
        </w:rPr>
        <w:t xml:space="preserve">Чем промывается смешанный купорос на центрифуге: исходным раствором (разд. 2.3, 3, 4.1.1) или водой (разд. 4.1.4)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для удаления кислоты и микропримесей промывается в центрифуге первичным раствором, поступающим из бака поз. 4,1.22…»</w:t>
            </w:r>
          </w:p>
          <w:p>
            <w:r>
              <w:rPr>
                <w:color w:val="666666"/>
                <w:sz w:val="18"/>
              </w:rPr>
              <w:t xml:space="preserve">ИД ч.2, разд. 4.1.1, строка 455 (также разд. 2.3, строка 244: «…отмываются от кислоты на центрифуге исходным раствором питания…»; табл. 3.1, строка 363: «Расход питающего раствора выпарки медного купороса на промывку кристаллов ¦ 0,15 ¦ м3/т»)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«Смешанный купорос в центрифуге промывается водой для удаления кислоты и микропримесей, промводы сбрасываются в бак (поз.9) и возвращаются в аппарат первой ступени.»</w:t>
            </w:r>
          </w:p>
          <w:p>
            <w:r>
              <w:rPr>
                <w:color w:val="666666"/>
                <w:sz w:val="18"/>
              </w:rPr>
              <w:t xml:space="preserve">ИД ч.2, разд. 4.1.4 (передел кристаллизации смешанного купороса), строка 499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Промывной агент двоится: исходный раствор (фильтрат контрольной фильтрации) против воды. Влияет на водный баланс выпарки и на качество купороса (микропримеси).</w:t>
      </w:r>
    </w:p>
    <w:p>
      <w:r>
        <w:rPr>
          <w:b/>
        </w:rPr>
        <w:t xml:space="preserve">Вопрос Заказчику: </w:t>
      </w:r>
      <w:r>
        <w:t xml:space="preserve">Указать один агент промывки (по балансам — исходный раствор, 0,15 м3/т) и поправить разд. 4.1.4.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C-67. </w:t>
      </w:r>
      <w:r>
        <w:rPr>
          <w:b/>
        </w:rPr>
        <w:t xml:space="preserve">Куда уходит излишек промывной воды КСМ: «в ГМО» по описанию машины против возврата в бак питания ванн по схеме ИД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«Излишек воды насосом автоматически скачивается в ГМО. После окончания обработки серии вода из резервуара скачивается в ГМО для дальнейшего использования.»</w:t>
            </w:r>
          </w:p>
          <w:p>
            <w:r>
              <w:rPr>
                <w:color w:val="666666"/>
                <w:sz w:val="18"/>
              </w:rPr>
              <w:t xml:space="preserve">ИД ч.2, описание КСМ, строка 555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«Промывные воды с катодосдирочных машин передаются в бак питания ванн, поз. 4.2.1.»</w:t>
            </w:r>
          </w:p>
          <w:p>
            <w:r>
              <w:rPr>
                <w:color w:val="666666"/>
                <w:sz w:val="18"/>
              </w:rPr>
              <w:t xml:space="preserve">ИД ч.2, разд. 4.1.2, строка 465 (также строка 461: «Также в бак питания поступают растворы промывки катодов, растворы системы аспирации ванн»)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Описание КСМ, судя по упоминаниям «ГМО» и «под ваннами», перенесено из другого проекта и не адаптировано: по принятой схеме промводы возвращаются в циркуляцию электролиза, а не в гидрометаллургическое отделение.</w:t>
      </w:r>
    </w:p>
    <w:p>
      <w:r>
        <w:rPr>
          <w:b/>
        </w:rPr>
        <w:t xml:space="preserve">Вопрос Заказчику: </w:t>
      </w:r>
      <w:r>
        <w:t xml:space="preserve">Адаптировать описание КСМ к принятой схеме (возврат в поз. 4.2.1) либо показать поток в ГМО в балансе.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C-68. </w:t>
      </w:r>
      <w:r>
        <w:rPr>
          <w:b/>
        </w:rPr>
        <w:t xml:space="preserve">Нормы расхода матриц и анодов (табл. 8.5) не сходятся с заявленными сроками службы при 180 ваннах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«Расчетный срок эксплуатации матриц – 6 лет.»</w:t>
            </w:r>
          </w:p>
          <w:p>
            <w:r>
              <w:rPr>
                <w:color w:val="666666"/>
                <w:sz w:val="18"/>
              </w:rPr>
              <w:t xml:space="preserve">ИД ч.2, п. 1.4.1.3, строка 210 (аноды: «Расчетный срок эксплуатации анодов – 5 лет», строка 202)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«9 ¦ Катодные матрицы ¦ шт. ¦ 1150 ¦ 0,017»</w:t>
            </w:r>
          </w:p>
          <w:p>
            <w:r>
              <w:rPr>
                <w:color w:val="666666"/>
                <w:sz w:val="18"/>
              </w:rPr>
              <w:t xml:space="preserve">ИД ч.2, табл. 8.5, строка 689 (аноды: «8 ¦ Аноды из свинцового сплава ¦ шт. ¦ 2300 ¦ 0,033», строка 688)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работе 180 ванн × 84 матрицы = 15120 шт. (строки 403, 466); при сроке 6 лет годовой расход ≈2520 шт., в табл. 8.5 — 1150 (соответствует ~13 годам). Аноды: 180 × 85 = 15300; при 5 годах ≈3060 шт./год против 2300 (≈6,7 года, что ближе к «сроку анодной компании 5-7 лет», строка 422). Нормы и сроки службы не согласованы между разделами 1.4 и 8.</w:t>
      </w:r>
    </w:p>
    <w:p>
      <w:r>
        <w:rPr>
          <w:b/>
        </w:rPr>
        <w:t xml:space="preserve">Вопрос Заказчику: </w:t>
      </w:r>
      <w:r>
        <w:t xml:space="preserve">Пересчитать нормы табл. 8.5/9.5 от принятых сроков службы (или скорректировать сроки).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C-69. </w:t>
      </w:r>
      <w:r>
        <w:rPr>
          <w:b/>
        </w:rPr>
        <w:t xml:space="preserve">Обрамление катодных матриц: «ПВХ (ПП)» в табл. 3.1 против полипропилена по разд. 1.3</w:t>
      </w:r>
    </w:p>
    <w:p>
      <w:r>
        <w:rPr>
          <w:color w:val="666666"/>
          <w:sz w:val="20"/>
        </w:rPr>
        <w:t xml:space="preserve">Лот №3 · Электроэкстракция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«Катоды – матрица из нерж. ст. 316L с ПВХ (ПП) обрамлением»</w:t>
            </w:r>
          </w:p>
          <w:p>
            <w:r>
              <w:rPr>
                <w:color w:val="666666"/>
                <w:sz w:val="18"/>
              </w:rPr>
              <w:t xml:space="preserve">ИД ч.2, табл. 3.1, строка 406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«1.3.7 Полипропиленовый профиль (пруток). Используется для обрамления катодных матриц.»</w:t>
            </w:r>
          </w:p>
          <w:p>
            <w:r>
              <w:rPr>
                <w:color w:val="666666"/>
                <w:sz w:val="18"/>
              </w:rPr>
              <w:t xml:space="preserve">ИД ч.2, п. 1.3.7, строка 151 (в перечне материалов — «полипропиленовый профиль», строка 118)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ПВХ и полипропилен — разные материалы с разной стойкостью при 50 °С в кислой среде; во всех остальных местах (и у поставщиков в Прил. Б) — полипропилен.</w:t>
      </w:r>
    </w:p>
    <w:p>
      <w:r>
        <w:rPr>
          <w:b/>
        </w:rPr>
        <w:t xml:space="preserve">Вопрос Заказчику: </w:t>
      </w:r>
      <w:r>
        <w:t xml:space="preserve">Убрать «ПВХ», оставить полипропилен (ПП).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C-70. </w:t>
      </w:r>
      <w:r>
        <w:rPr>
          <w:b/>
        </w:rPr>
        <w:t xml:space="preserve">ТЗ: «345 дней в году, 8322 рабочих часов» — дни и часы не сходятся между собой (345×24=8280)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Участка получения медного и медно-никелевого купороса (ИД, часть 1, Приложение В): круглосуточный, 345 дней в году, 8322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4.4, строка 275 (аналогично п. 5.3, строка 356: «круглосуточный, 358 дней в году, 8585 рабочих часов», а 358×24=8592)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«Если в настоящем разделе приводятся часовые потоки, то они относятся к расчетам из годовой работы 8322 часов (КИО=95%) для гидрометаллургического производства и 8584,8 часов для ванн и иного оборудования электролизного отделения, что соответствует КИО 98%.»</w:t>
            </w:r>
          </w:p>
          <w:p>
            <w:r>
              <w:rPr>
                <w:color w:val="666666"/>
                <w:sz w:val="18"/>
              </w:rPr>
              <w:t xml:space="preserve">ИД ч.2, разд. 3, строка 259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8322 ч = 346,75 сут (КИО 95%), а не 345 сут (8280 ч); 8584,8 ч = 357,7 сут, а не 358. Дни в ТЗ округлены несогласованно с часами — при пересчётах производительности возможна ошибка ~0,5%.</w:t>
      </w:r>
    </w:p>
    <w:p>
      <w:r>
        <w:rPr>
          <w:b/>
        </w:rPr>
        <w:t xml:space="preserve">Вопрос Заказчику: </w:t>
      </w:r>
      <w:r>
        <w:t xml:space="preserve">В ТЗ оставить только часы (8322 / 8585) либо согласованные пары «дни-часы».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C-71. </w:t>
      </w:r>
      <w:r>
        <w:rPr>
          <w:b/>
        </w:rPr>
        <w:t xml:space="preserve">Стык режимов: сгущение-фильтрация концентрата рассчитаны на 8322 ч/год, а Цех обжига (куда ТЗ включает участок фильтрации) работает 7920 ч/год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 ¦ Число рабочих часов в году ¦ ч/год ¦ 8322»</w:t>
            </w:r>
          </w:p>
          <w:p>
            <w:r>
              <w:rPr>
                <w:color w:val="666666"/>
                <w:sz w:val="18"/>
              </w:rPr>
              <w:t xml:space="preserve">ИД ч.1, табл. 23, раздел «Сгущение и фильтрация медного концентрата», строка 479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«Режим работы оборудования Цеха обжига (ИД, часть 1, Приложение В - письмо №КГМК/6525-исх от 25.05.2026 «О сценарных условиях для ИД и ТР»): круглосуточный, 330 дней в году, 7920 рабочих часов.»</w:t>
            </w:r>
          </w:p>
          <w:p>
            <w:r>
              <w:rPr>
                <w:color w:val="666666"/>
                <w:sz w:val="18"/>
              </w:rPr>
              <w:t xml:space="preserve">ТЗ v3.6, п. 3.4, строка 185 (и ИД ч.1, табл. 23, строка 640: «90 ¦ Число рабочих часов в году ¦ ч/год ¦ 7920»)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Участок фильтрации медного концентрата входит в Цех обжига (Лот 1, ТЗ п. 2.8.3, строка 80), кек с барабанных фильтров конвейером подаётся прямо на шихтовку. Внутри одной табл. 23 ч.1 для фильтрации принято 8322 ч (гидрометаллургический режим), для обжига — 7920 ч: часовые производительности фильтров и печи посчитаны от разных баз.</w:t>
      </w:r>
    </w:p>
    <w:p>
      <w:r>
        <w:rPr>
          <w:b/>
        </w:rPr>
        <w:t xml:space="preserve">Вопрос Заказчику: </w:t>
      </w:r>
      <w:r>
        <w:t xml:space="preserve">Определить, по какому режиму проектируется фильтрация (7920 ч как часть Лота 1?) и пересчитать её часовые потоки.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C-72. </w:t>
      </w:r>
      <w:r>
        <w:rPr>
          <w:b/>
        </w:rPr>
        <w:t xml:space="preserve">Хлор в обжиговой пыли (основной вариант): 0,023% в тексте ч.1 и ТЗ против 0,019% в табл. 10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«- для основного варианта: 67,76 Cu, 3,72 Ni, 0,16 Co, 4,99 Fe, 2,40 S, 0,023 Cl,»</w:t>
            </w:r>
          </w:p>
          <w:p>
            <w:r>
              <w:rPr>
                <w:color w:val="666666"/>
                <w:sz w:val="18"/>
              </w:rPr>
              <w:t xml:space="preserve">ИД ч.1, п. 1.2.2, строка 154 (то же в ТЗ, строка 144: «…2,40 S, 0,023 Cl»)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«Химический состав, % ¦ 3,72 ¦ 67,76 ¦ 0,16 ¦ 4,99 ¦ 2,40 ¦ 1,43 ¦ 21,18 ¦ 0,019 ¦ 100,00»</w:t>
            </w:r>
          </w:p>
          <w:p>
            <w:r>
              <w:rPr>
                <w:color w:val="666666"/>
                <w:sz w:val="18"/>
              </w:rPr>
              <w:t xml:space="preserve">ИД ч.1, табл. 10 (средний состав пыли, основной вариант), строка 170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Табл. 10 (и расчёт через CuCl 0,052%) даёт Cl 0,019; текст и ТЗ — 0,023. Хлор пыли — входной параметр ч.2: от него зависят хлоридный фон электролита (20-35 г/м3, строка 188 ч.2) и потребность в соляной кислоте.</w:t>
      </w:r>
    </w:p>
    <w:p>
      <w:r>
        <w:rPr>
          <w:b/>
        </w:rPr>
        <w:t xml:space="preserve">Вопрос Заказчику: </w:t>
      </w:r>
      <w:r>
        <w:t xml:space="preserve">Выверить средний Cl пыли по балансу табл. 22 и поправить текст/ТЗ или таблицу.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C-73. </w:t>
      </w:r>
      <w:r>
        <w:rPr>
          <w:b/>
        </w:rPr>
        <w:t xml:space="preserve">Удельные нормы «на 1 т меди»: ч.1 делит на 71264 т (медь в шихте), сводная табл. 9.5 ч.2 — на ~69250 т (катодная медь)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«Технический кислород (96 % O2) на дутье, нм3 ¦  ¦ 0,8-1,2 ¦ 25 ¦  ¦ 4687×7920=37121040 ¦ 37121040/71264=520,9»</w:t>
            </w:r>
          </w:p>
          <w:p>
            <w:r>
              <w:rPr>
                <w:color w:val="666666"/>
                <w:sz w:val="18"/>
              </w:rPr>
              <w:t xml:space="preserve">ИД ч.1, табл. 26, строка 1567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«18 ¦ Кислород (96%) на дутье в печь КС ¦ тыс.м3 ¦ 37121 ¦ 0,536»</w:t>
            </w:r>
          </w:p>
          <w:p>
            <w:r>
              <w:rPr>
                <w:color w:val="666666"/>
                <w:sz w:val="18"/>
              </w:rPr>
              <w:t xml:space="preserve">ИД ч.2, табл. 9.5, строка 732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Годовой объём один и тот же (37121 тыс. нм3), но удельный расход в ч.1 — 520,9 нм3/т (база 71264 т меди в шихте), а в ч.2 — 536 нм3/т (база ~69250 т катодной меди). Одинаково названные нормы «на 1 т меди» в двух частях ИД несопоставимы (~3%).</w:t>
      </w:r>
    </w:p>
    <w:p>
      <w:r>
        <w:rPr>
          <w:b/>
        </w:rPr>
        <w:t xml:space="preserve">Вопрос Заказчику: </w:t>
      </w:r>
      <w:r>
        <w:t xml:space="preserve">Оговорить базу удельных норм (катодная медь) и пересчитать табл. 26 ч.1 либо снабдить обе таблицы примечанием.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C-76. </w:t>
      </w:r>
      <w:r>
        <w:rPr>
          <w:b/>
        </w:rPr>
        <w:t xml:space="preserve">Опечатка в наименовании ГОСТ Р 10.0.02-2019/ИСО 16739-1:2018: «Честь 1. Схема данных»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«Честь 1. Схема данных»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 (табл. нормативных ссылок, строка ГОСТ Р 10.0.02-2019)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«Часть 1. Методология и формат»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стр.19 (соседняя строка той же таблицы — корректное написание)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Официальное наименование ГОСТ Р 10.0.02-2019/ИСО 16739-1:2018 заканчивается словами «Часть 1. Схема данных»; в таблице — «Честь 1». Остальные строки таблицы (ГОСТ Р 10.0.03-2019, 10.0.05-2019, 10.0.06-2019) используют правильное «Часть …».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перечень НТД со строкой «Честь 1» в ред.2 исключён</w:t>
      </w:r>
    </w:p>
    <w:p>
      <w:r>
        <w:rPr>
          <w:b/>
        </w:rPr>
        <w:t xml:space="preserve">Вопрос Заказчику: </w:t>
      </w:r>
      <w:r>
        <w:t xml:space="preserve">Исправить «Честь» на «Часть» в строке ГОСТ Р 10.0.02-2019.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C-79. </w:t>
      </w:r>
      <w:r>
        <w:rPr>
          <w:b/>
        </w:rPr>
        <w:t xml:space="preserve">Прил.4 ЦИМ (наименования файлов): один код на две стадии, два кода на одно содержание, дубли и опечатки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(Эскизный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стр.32 (табл. стадий)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«CONCP ¦ Проектная ЦИМ (Архитектурный проект)»</w:t>
            </w:r>
          </w:p>
          <w:p>
            <w:r>
              <w:rPr>
                <w:color w:val="666666"/>
                <w:sz w:val="18"/>
              </w:rPr>
              <w:t xml:space="preserve">Прил.4/Прил.4 ЦИМ «Правила наименования файлов».txt, стр.33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Код CONCP назначен двум разным стадиям — имя файла их не различит. Также: «Кислород ¦ Oxygen» (стр.142) и «Кислород ¦ G2» (стр.196) — два кода одного содержания; «Воздуховоды ¦ AirLines» и «Воздуховоды ¦ Airlines» (стр.122–123); «Фасад ¦ Facade» дважды (стр.136, 141); «ТМ ¦ TM» дважды (стр.58–59); опечатка «напорныq» (стр.177); в примере стадия возведения «ex» строчными (стр.24) при коде таблицы «EX» (стр.82).</w:t>
      </w:r>
    </w:p>
    <w:p>
      <w:r>
        <w:rPr>
          <w:b/>
        </w:rPr>
        <w:t xml:space="preserve">Вопрос Заказчику: </w:t>
      </w:r>
      <w:r>
        <w:t xml:space="preserve">Вычистить таблицы кодов: уникальный код каждой стадии/содержанию, убрать дубли, исправить опечатки, зафиксировать регистр кодов.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C-80. </w:t>
      </w:r>
      <w:r>
        <w:rPr>
          <w:b/>
        </w:rPr>
        <w:t xml:space="preserve">Прил.3 ЦИМ: в проверках коллизий стадии Р наборы элементов не соответствуют названиям проверок — часть коллизий не ловится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ТХ_Газоходы ¦ КЖ_КолонныКЖ_БалкиКМ_Колонны и балки ¦ ИС_Трубы канализация ¦ 20 мм ¦ Пересечения ж/б и металлических колонн и балок с трубами канализационной системы»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стр.104 (проверка 7.6, стадия Р)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«КЖ-КМ_Колонны, балки – ИС_Канализация ¦ КЖ_КолонныКЖ_БалкиКМ_Колонны и балки ¦ ИС_Трубы канализация»</w:t>
            </w:r>
          </w:p>
          <w:p>
            <w:r>
              <w:rPr>
                <w:color w:val="666666"/>
                <w:sz w:val="18"/>
              </w:rPr>
              <w:t xml:space="preserve">Прил.4/Прил.3 ЦИМ «Наборы и правила проверки».txt, стр.96 (проверка 6.4, стадия Р — тот же состав наборов)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Проверка 7.6 называется «колонны/балки – ТХ_Газоходы», но набором Б назначена канализация — это дубль проверки 6.4, а пересечения колонн/балок с газоходами не проверяются вовсе. Аналогично 8.2 «ТХ_Газоходы – ИС_Оборудование» получила набором Б трассы (стр.108, дубль 8.1), а 9.5 «АР – ТХ_Оборудование» — набор А «ИС_Оборудование» (стр.118): коллизии газоходов с оборудованием ИС и техоборудования с АР выпадают из контроля качества.</w:t>
      </w:r>
    </w:p>
    <w:p>
      <w:r>
        <w:rPr>
          <w:b/>
        </w:rPr>
        <w:t xml:space="preserve">Вопрос Заказчику: </w:t>
      </w:r>
      <w:r>
        <w:t xml:space="preserve">Исправить наборы А/Б в проверках 7.6, 8.2 и 9.5 стадии Р в соответствии с их названиями и описаниями.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C-82. </w:t>
      </w:r>
      <w:r>
        <w:rPr>
          <w:b/>
        </w:rPr>
        <w:t xml:space="preserve">ПИМ: три разные расшифровки одного термина внутри ТЗ на ЦИМ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«План реализации проекта с использованием информационного моделирования; ПИМ: Технический документ»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стр.43 (Термины и определения)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««Плана выполнения проекта с применением информационного моделирования» (ПИМ)»</w:t>
            </w:r>
          </w:p>
          <w:p>
            <w:r>
              <w:rPr>
                <w:color w:val="666666"/>
                <w:sz w:val="18"/>
              </w:rPr>
              <w:t xml:space="preserve">Прил.4, ТЗ на ЦИМ_ОВЭ-75.txt, стр.186 (раздел Совещания)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терминах ПИМ — «План реализации проекта с использованием информационного моделирования» (стр.43), в сокращениях — «План информационного моделирования» (стр.61), в разделе совещаний — «План выполнения проекта с применением информационного моделирования» (стр.186). Один документ фигурирует под тремя именами — риск разночтений в договоре и СОД.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термин ПИМ в ред.2 исключён</w:t>
      </w:r>
    </w:p>
    <w:p>
      <w:r>
        <w:rPr>
          <w:b/>
        </w:rPr>
        <w:t xml:space="preserve">Вопрос Заказчику: </w:t>
      </w:r>
      <w:r>
        <w:t xml:space="preserve">Унифицировать наименование ПИМ по всему ТЗ на ЦИМ и приложениям.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C-85. </w:t>
      </w:r>
      <w:r>
        <w:rPr>
          <w:b/>
        </w:rPr>
        <w:t xml:space="preserve">Номинал питающей сети в одном приложении: 230 В для АСУ и 220В для весоизмерения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характеристиками: 230 В, 50 Гц, стабилизированное»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стр.86 (АСУТП → Требования к надёжности)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«электропитание: 220В, 50Гц.»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стр.197 (Весоизмерение (АИС) → Требования к надёжности)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Формально это разделы разных систем (АСУ и АИС весоизмерения), однако обе питаются от одной сети 0,4 кВ площадки (ср. ТЗ на БИ, стр.251: «шкафы управления 0,4 кВ»), а действующий номинал напряжения в РФ — 230 В (ГОСТ 29322-2014). Два номинала в одном приложении — след шаблонов разных лет; при заказе ИБП, стабилизаторов и заполнении опросных листов даст разнобой.</w:t>
      </w:r>
    </w:p>
    <w:p>
      <w:r>
        <w:rPr>
          <w:b/>
        </w:rPr>
        <w:t xml:space="preserve">Вопрос Заказчику: </w:t>
      </w:r>
      <w:r>
        <w:t xml:space="preserve">Унифицировать номинал электропитания (230 В) по всем разделам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C-86. </w:t>
      </w:r>
      <w:r>
        <w:rPr>
          <w:b/>
        </w:rPr>
        <w:t xml:space="preserve">ПГС: три разных требования к степени защиты IP в соседних абзацах без границ применения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классом защиты IP54 и терморегуляцией»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стр.389 (ПГС — шкаф коммутатора оперативно-технологической связи)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«Класс защиты должен быть IP 65.»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стр.391 (ПГС — оборудование в технологических зонах)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шкафа коммутатора ПГС задан IP54 (стр.389); следующий абзац для техсредств ПГС в закрытых шкафах велит «Степень защиты IР определить в соответствии с внешними производственными факторами» (стр.390 — причём «IР» набрано с кириллической «Р»); а стр.391 для оборудования в технологических зонах жёстко требует IP 65. Границы применения трёх правил не заданы — к какому из них относится коммутатор и шкафы с серверами/ИБП, неясно.</w:t>
      </w:r>
    </w:p>
    <w:p>
      <w:r>
        <w:rPr>
          <w:b/>
        </w:rPr>
        <w:t xml:space="preserve">Вопрос Заказчику: </w:t>
      </w:r>
      <w:r>
        <w:t xml:space="preserve">Разграничить требования: какие элементы ПГС — IP54, какие — IP65, какие — «по факторам»; исправить опечатку «IР».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C-87. </w:t>
      </w:r>
      <w:r>
        <w:rPr>
          <w:b/>
        </w:rPr>
        <w:t xml:space="preserve">Лот №1: в таблице границ проектирования два пункта 3.3.2, пункт 3.3.3 отсутствует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Медный кек NNH в «биг-бэг» ¦ Ворота цеха»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стр.151 (табл. п.3.3)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«3.3.2 ¦ Цементная медь в титановых контейнерах ¦ Ворота цеха»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стр.152 (та же таблица, следующая строка)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Номер 3.3.2 присвоен двум разным продуктам (медный кек и цементная медь), следующий пункт — сразу 3.3.4 (стр.153). На пункт 3.3 завязаны состав оборудования (стр.165) и оценка стоимости (стр.223); ссылки на конкретные подпункты границ будут неоднозначными.</w:t>
      </w:r>
    </w:p>
    <w:p>
      <w:r>
        <w:rPr>
          <w:b/>
          <w:color w:val="0CA30C"/>
        </w:rPr>
        <w:t xml:space="preserve">Статус по редакции 25.08.2026 (ТЗ v4.1 / ЦИМ ред.2): </w:t>
      </w:r>
      <w:r>
        <w:rPr>
          <w:color w:val="0CA30C"/>
        </w:rPr>
        <w:t xml:space="preserve">нумерация строк таблиц границ в v4.1 удалена — двойного 3.3.2 больше нет; на таблицу границ Лота 1 ссылаются как на п. 4.5</w:t>
      </w:r>
    </w:p>
    <w:p>
      <w:r>
        <w:rPr>
          <w:b/>
        </w:rPr>
        <w:t xml:space="preserve">Вопрос Заказчику: </w:t>
      </w:r>
      <w:r>
        <w:t xml:space="preserve">Перенумеровать таблицу границ Лота №1 (цементная медь → 3.3.3).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C-89. </w:t>
      </w:r>
      <w:r>
        <w:rPr>
          <w:b/>
        </w:rPr>
        <w:t xml:space="preserve">Снеговая нагрузка записана в «кПа (кг/м2)», ветровая рядом — в «кПа (кгс/м2)»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«равное 3,2 (320) кПа (кг/м2)»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стр.103 (Снеговые нагрузки)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«W0 = 0,30 (30) кПа (кгс/м2)»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стр.105 (Ветровые нагрузки)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соседних пунктах дублирующая размерность нагрузки записана по-разному: «кг/м2» (единица массы) для снеговой и корректная «кгс/м2» (единица силы) для ветровой. Для нагрузок правильно кгс/м².</w:t>
      </w:r>
    </w:p>
    <w:p>
      <w:r>
        <w:rPr>
          <w:b/>
        </w:rPr>
        <w:t xml:space="preserve">Вопрос Заказчику: </w:t>
      </w:r>
      <w:r>
        <w:t xml:space="preserve">Исправить «кг/м2» на «кгс/м2» в пункте о снеговой нагрузке.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C-90. </w:t>
      </w:r>
      <w:r>
        <w:rPr>
          <w:b/>
        </w:rPr>
        <w:t xml:space="preserve">АСУ с прикладным ПО включена в оценку стоимости Лотов №2 и №3, но не упомянута в стоимости Лотов №1 и №4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стр.305 (Стоимость поставки по Лоту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«оценку общей стоимости комплектной поставки технологического оборудования и материалов (трубопроводов, газоходов, технологических металлоконструкций, теплоизоляции и т.д.) в границах проектирования, указанных в пункте 3.3.»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стр.223 (Стоимость поставки по Лоту №1)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Для Лотов №2 и №3 оценка стоимости прямо включает «поставку АСУ с прикладным программным обеспечением» (стр.305, 385). В Лоте №1 АСУ в стоимости не упомянута, хотя лот требует автоматику печи «с использованием машинного обучения» (стр.201) и схему КТС АСУ (стр.217); в Лоте №4 (стр.422) не упомянуты ни АСУ, ни «материалы», хотя «АСУ должна управлять роботами…» (стр.418). Участники заложат несопоставимые объёмы в цены лотов.</w:t>
      </w:r>
    </w:p>
    <w:p>
      <w:r>
        <w:rPr>
          <w:b/>
          <w:color w:val="666666"/>
        </w:rPr>
        <w:t xml:space="preserve">Статус по редакции 25.08.2026 (ТЗ v4.1 / ЦИМ ред.2): </w:t>
      </w:r>
      <w:r>
        <w:rPr>
          <w:color w:val="666666"/>
        </w:rPr>
        <w:t xml:space="preserve">сохраняется в v4.1: «Бюджетную оценку … с учетом поставки АСУ с прикладным программным обеспечением» — только в Лотах 2 и 3; в Лотах 1 и 4 АСУ не упомянута</w:t>
      </w:r>
    </w:p>
    <w:p>
      <w:r>
        <w:rPr>
          <w:b/>
        </w:rPr>
        <w:t xml:space="preserve">Вопрос Заказчику: </w:t>
      </w:r>
      <w:r>
        <w:t xml:space="preserve">Указать для Лотов №1 и №4, входит ли АСУ с ППО (и материалы) в оценку стоимости комплектной поставки.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C-91. </w:t>
      </w:r>
      <w:r>
        <w:rPr>
          <w:b/>
        </w:rPr>
        <w:t xml:space="preserve">В разделе весоизмерения система названа АИС, а требования сформулированы к «шкафам АСУ»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«Автоматизированная информационная система (далее – АИС) должна выполнять»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стр.180 (Весоизмерение → Общие требования)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«Шкафы АСУ должны быть оборудованы запорными устройствами с системой контроля открывания двери»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стр.205 (Весоизмерение → Требования по безопасности)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Раздел весоизмерения вводит термин АИС, но требование о контроле открывания дверей адресовано «шкафам АСУ» — формально к шкафам АИС оно не привязано. Параллельно по Прил.5 без расшифровки употребляются и АСУ (стр.51), и АСУТП (стр.63, 77); в основном ТЗ расшифровано только «АСУ» (стр.12).</w:t>
      </w:r>
    </w:p>
    <w:p>
      <w:r>
        <w:rPr>
          <w:b/>
        </w:rPr>
        <w:t xml:space="preserve">Вопрос Заказчику: </w:t>
      </w:r>
      <w:r>
        <w:t xml:space="preserve">Унифицировать термины (АСУ/АСУТП/АИС), дать расшифровки в перечнях сокращений; в разделе АИС заменить «Шкафы АСУ» на «Шкафы АИС».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C-92. </w:t>
      </w:r>
      <w:r>
        <w:rPr>
          <w:b/>
        </w:rPr>
        <w:t xml:space="preserve">КСПД/ТСПД используются в требованиях без расшифровки — определение сегментов есть только в перечнях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«сетевая инфраструктура (КСПД, ТСПД)»</w:t>
            </w:r>
          </w:p>
          <w:p>
            <w:r>
              <w:rPr>
                <w:color w:val="666666"/>
                <w:sz w:val="18"/>
              </w:rPr>
              <w:t xml:space="preserve">Прил.5 «Базовые требования…» (brief.txt), стр.78 (АСУТП → Структура системы)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«Перечень сетевого оборудования для подземных опорных сетей передачи данных Технологического сегмента (ТСПД)»</w:t>
            </w:r>
          </w:p>
          <w:p>
            <w:r>
              <w:rPr>
                <w:color w:val="666666"/>
                <w:sz w:val="18"/>
              </w:rPr>
              <w:t xml:space="preserve">Прил.5, перечни рекомендованных СА (pa.txt), стр.136–137 (п.5, заголовок)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требованиях Прил.5 аббревиатуры КСПД/ТСПД нигде не расшифрованы; сегменты определяются лишь косвенно в перечнях: «Сетевое оборудование офисного сегмента (КСПД)» (pa.txt, стр.126–128) и «технологического сегмента (ТСПД)» (стр.131–133, 137). Исполнителю, не знакомому с НМД «Норникеля», состав и границы этих сетей неочевидны.</w:t>
      </w:r>
    </w:p>
    <w:p>
      <w:r>
        <w:rPr>
          <w:b/>
        </w:rPr>
        <w:t xml:space="preserve">Вопрос Заказчику: </w:t>
      </w:r>
      <w:r>
        <w:t xml:space="preserve">Добавить расшифровку КСПД/ТСПД (корпоративная/технологическая сеть передачи данных) в термины Прил.5.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C-93. </w:t>
      </w:r>
      <w:r>
        <w:rPr>
          <w:b/>
        </w:rPr>
        <w:t xml:space="preserve">Один объект — три имени: «Гидрометаллургический цех», «Гидрометаллургический участок (ГМУ)» и папка «Здание Минпрок»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«Гидрометаллургический цех, в составе:»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стр.86 (табл. п.2.8, поз.2.8.5) (пометка «(существующие здания)» в v4.1 вычеркнута)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«Приложение № 7 – Существующее здание Гидрометаллургического участка (ГМУ)»</w:t>
            </w:r>
          </w:p>
          <w:p>
            <w:r>
              <w:rPr>
                <w:color w:val="666666"/>
                <w:sz w:val="18"/>
              </w:rPr>
              <w:t xml:space="preserve">ТЗ на БИ ОВЭ-75. v.3.6.txt, стр.434 (Перечень приложений)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теле ТЗ существующий объект размещения Лотов №2–4 называется «Гидрометаллургический цех», в перечне приложений — «Гидрометаллургический участок (ГМУ)» (сокращения ГМУ в списке нет), а папка приложения №7 в переданном пакете названа «Приложение №7 - Здание Минпрок». Три наименования одного здания в одном пакете.</w:t>
      </w:r>
    </w:p>
    <w:p>
      <w:r>
        <w:rPr>
          <w:b/>
          <w:color w:val="B07C00"/>
        </w:rPr>
        <w:t xml:space="preserve">Статус по редакции 25.08.2026 (ТЗ v4.1 / ЦИМ ред.2): </w:t>
      </w:r>
      <w:r>
        <w:rPr>
          <w:color w:val="B07C00"/>
        </w:rPr>
        <w:t xml:space="preserve">в v4.1 пометка «(существующие здания)» вычеркнута; тройное имя объекта (цех / участок ГМУ / «Минпрок») сохраняется</w:t>
      </w:r>
    </w:p>
    <w:p>
      <w:r>
        <w:rPr>
          <w:b/>
        </w:rPr>
        <w:t xml:space="preserve">Вопрос Заказчику: </w:t>
      </w:r>
      <w:r>
        <w:t xml:space="preserve">Привести наименование объекта Прил.7 к единому виду; если остаётся ГМУ — добавить в перечень сокращений.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C-95. </w:t>
      </w:r>
      <w:r>
        <w:rPr>
          <w:b/>
        </w:rPr>
        <w:t xml:space="preserve">v4.1: «в автоцементовозы» вычеркнуто из состава Лота №1, но осталось в описательной части</w:t>
      </w:r>
    </w:p>
    <w:p>
      <w:r>
        <w:rPr>
          <w:color w:val="666666"/>
          <w:sz w:val="20"/>
        </w:rPr>
        <w:t xml:space="preserve">Лот №1 · Цех обжига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«накопление и передача огарка и пыли на гидрометаллургическую переработку (способ транспортировки определяется при разработке ОТР).»</w:t>
            </w:r>
          </w:p>
          <w:p>
            <w:r>
              <w:rPr>
                <w:color w:val="666666"/>
                <w:sz w:val="18"/>
              </w:rPr>
              <w:t xml:space="preserve">ТЗ на БИ v4.1, разд. 2 «Общая технология», Цех обжига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«Отгрузка огарка и «грубой» пыли из бункера предусматривается в автоцементовозы.»</w:t>
            </w:r>
          </w:p>
          <w:p>
            <w:r>
              <w:rPr>
                <w:color w:val="666666"/>
                <w:sz w:val="18"/>
              </w:rPr>
              <w:t xml:space="preserve">ТЗ на БИ v4.1, описание технологии Цеха обжига (то же — для «тонкой» пыли); в составе оборудования Лота №1 слова «в автоцементовозы» вычеркнуты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Состав Лота №1 приведён к «способ транспортировки определяется при разработке ОТР» (автоцементовозы вычеркнуты) — принято. В описательной части остались два упоминания автоцементовозов — рудимент правки. Конфликт температур (70 °С на выгрузке против допуска цементовоза 65 °С, C-54) актуализируется, только если при ОТР транспорт подтвердят автоцементовозами.</w:t>
      </w:r>
    </w:p>
    <w:p>
      <w:r>
        <w:rPr>
          <w:b/>
        </w:rPr>
        <w:t xml:space="preserve">Вопрос Заказчику: </w:t>
      </w:r>
      <w:r>
        <w:t xml:space="preserve">Вычистить оставшиеся упоминания автоцементовозов из описательной части (либо подтвердить их как принятое решение — тогда см. C-54).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C-97. </w:t>
      </w:r>
      <w:r>
        <w:rPr>
          <w:b/>
        </w:rPr>
        <w:t xml:space="preserve">v4.1: границы Лота №2 адресуются одновременно как «пункт 4.3» и «пункт 5.3»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«В состав БИ по Участку получения медного и медно-никелевого купороса включается основное и вспомогательное технологическое оборудование, а также трубопроводы в границах проектирования, указанных в пункте 4.3.»</w:t>
            </w:r>
          </w:p>
          <w:p>
            <w:r>
              <w:rPr>
                <w:color w:val="666666"/>
                <w:sz w:val="18"/>
              </w:rPr>
              <w:t xml:space="preserve">ТЗ на БИ v4.1, «Оборудование, включаемое в состав БИ» Лота №2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«Бюджетную оценку общей стоимости комплектной поставки технологического оборудования и материалов (трубопроводов, технологических металлоконструкций, теплоизоляции и т.д.) в границах проектирования, указанных в пункте 5.3, с учетом поставки АСУ с прикладным программным обеспечением.»</w:t>
            </w:r>
          </w:p>
          <w:p>
            <w:r>
              <w:rPr>
                <w:color w:val="666666"/>
                <w:sz w:val="18"/>
              </w:rPr>
              <w:t xml:space="preserve">ТЗ на БИ v4.1, «Стоимость поставки по Лоту №2»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Обе фразы ссылаются на одну и ту же таблицу границ Лота 2, но под разными номерами: при перенумерации v4.1 (границы Лота 1 — 4.5, Лота 2 — 5.3, Лота 3 — 6.2, Лота 4 — 7.2) ссылка в составе оборудования не обновлена. Вместе с удалением номеров строк это делает ссылки на границы неоднозначными.</w:t>
      </w:r>
    </w:p>
    <w:p>
      <w:r>
        <w:rPr>
          <w:b/>
        </w:rPr>
        <w:t xml:space="preserve">Вопрос Заказчику: </w:t>
      </w:r>
      <w:r>
        <w:t xml:space="preserve">Выправить перекрёстные ссылки на пункты границ по всему ТЗ v4.1 (единая нумерация: 4.5 / 5.3 / 6.2 / 7.2).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C-99. </w:t>
      </w:r>
      <w:r>
        <w:rPr>
          <w:b/>
        </w:rPr>
        <w:t xml:space="preserve">v4.1: «приведены в ИД, часть, в разделе 1.4» — номер части выпал; наборы таблиц в соседних фразах различаются</w:t>
      </w:r>
    </w:p>
    <w:p>
      <w:r>
        <w:rPr>
          <w:color w:val="666666"/>
          <w:sz w:val="20"/>
        </w:rPr>
        <w:t xml:space="preserve">Лот №2 · Купорос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сырью для получения медного и медно-никелевого купороса приведены в ИД, часть, в разделе 1.4, 2.3 и таблицах 3.1, 5.5,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«Сырье для получения медного и медно-никелевого купороса» (Лот №2)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«Подробные данные по продукции Участка получения медного и медно-никелевого купороса приведены в ИД, часть 2 в разделе 1.4, 2.3 и таблицах 3.1 5.5, 5.6, 5.7, 5.16, 5.18.»</w:t>
            </w:r>
          </w:p>
          <w:p>
            <w:r>
              <w:rPr>
                <w:color w:val="666666"/>
                <w:sz w:val="18"/>
              </w:rPr>
              <w:t xml:space="preserve">ТЗ на БИ v4.1, «Продукция Участка получения медного и медно-никелевого купороса» (Лот №2)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В первой фразе при правке потерян номер части ИД (должно быть «часть 2»); во второй фразе перечень таблиц шире на 5.6 и потеряна запятая после 3.1. Для исполнителя БИ адресация исходных данных должна быть точной.</w:t>
      </w:r>
    </w:p>
    <w:p>
      <w:r>
        <w:rPr>
          <w:b/>
        </w:rPr>
        <w:t xml:space="preserve">Вопрос Заказчику: </w:t>
      </w:r>
      <w:r>
        <w:t xml:space="preserve">Восстановить «часть 2» и выверить единый перечень разделов/таблиц ИД в обеих фразах.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2"/>
      </w:pPr>
      <w:r>
        <w:rPr>
          <w:b/>
        </w:rPr>
        <w:t xml:space="preserve">C-101. </w:t>
      </w:r>
      <w:r>
        <w:rPr>
          <w:b/>
        </w:rPr>
        <w:t xml:space="preserve">ЦИМ ред.2: текст требует проверки «перечисленные в таблице 4», а перечень озаглавлен «Таблица 3»</w:t>
      </w:r>
    </w:p>
    <w:p>
      <w:r>
        <w:rPr>
          <w:color w:val="666666"/>
          <w:sz w:val="20"/>
        </w:rPr>
        <w:t xml:space="preserve">общий / стык · важность: формальные</w:t>
      </w:r>
    </w:p>
    <w:tbl>
      <w:tblPr>
        <w:tblW w:w="9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1560"/>
        <w:gridCol w:w="8078"/>
      </w:tblGrid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А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«Исполнителю перед сдачей ЦИМ Заказчику необходимо выполнить проверки, перечисленные в таблице 4 применительно к этапу разработки в соответствии с требованиями настоящего документа.»</w:t>
            </w:r>
          </w:p>
          <w:p>
            <w:r>
              <w:rPr>
                <w:color w:val="666666"/>
                <w:sz w:val="18"/>
              </w:rPr>
              <w:t xml:space="preserve">ТЗ на ЦИМ ред.2, «Требования к контролю качества»</w:t>
            </w:r>
          </w:p>
        </w:tc>
      </w:tr>
      <w:tr>
        <w:tc>
          <w:tcPr>
            <w:tcW w:w="1560" w:type="dxa"/>
            <w:shd w:val="clear" w:fill="F2F2F2"/>
          </w:tcPr>
          <w:p>
            <w:r>
              <w:rPr>
                <w:b/>
              </w:rPr>
              <w:t xml:space="preserve">Редакция Б</w:t>
            </w:r>
          </w:p>
        </w:tc>
        <w:tc>
          <w:tcPr>
            <w:tcW w:w="8078" w:type="dxa"/>
          </w:tcPr>
          <w:p>
            <w:r>
              <w:rPr>
                <w:i/>
              </w:rPr>
              <w:t xml:space="preserve">«Таблица 3 – Перечень проверок»</w:t>
            </w:r>
          </w:p>
          <w:p>
            <w:r>
              <w:rPr>
                <w:color w:val="666666"/>
                <w:sz w:val="18"/>
              </w:rPr>
              <w:t xml:space="preserve">ТЗ на ЦИМ ред.2, там же, заголовок следующей таблицы</w:t>
            </w:r>
          </w:p>
        </w:tc>
      </w:tr>
    </w:tbl>
    <w:p>
      <w:r>
        <w:rPr>
          <w:b/>
        </w:rPr>
        <w:t xml:space="preserve">На что влияет: </w:t>
      </w:r>
      <w:r>
        <w:t xml:space="preserve">Таблицы 4 в документе нет: перечень проверок идёт под номером 3 (нумерация сдвинулась при сокращении документа). Формальность, но ссылка на несуществующую таблицу в договорном документе даёт повод для разночтений при сдаче-приёмке ЦИМ.</w:t>
      </w:r>
    </w:p>
    <w:p>
      <w:r>
        <w:rPr>
          <w:b/>
        </w:rPr>
        <w:t xml:space="preserve">Вопрос Заказчику: </w:t>
      </w:r>
      <w:r>
        <w:t xml:space="preserve">Исправить ссылку на «таблицу 3» (или перенумеровать таблицы).</w:t>
      </w:r>
    </w:p>
    <w:p>
      <w:r>
        <w:rPr>
          <w:b/>
        </w:rPr>
        <w:t xml:space="preserve">Решение Заказчика: </w:t>
      </w:r>
      <w:r>
        <w:rPr>
          <w:color w:val="888888"/>
        </w:rPr>
        <w:t xml:space="preserve">____________________________________________________________</w:t>
      </w:r>
    </w:p>
    <w:p>
      <w:pPr>
        <w:pStyle w:val="Heading1"/>
      </w:pPr>
      <w:r>
        <w:t xml:space="preserve">4. Общие вопросы Заказчику (11)</w:t>
      </w:r>
    </w:p>
    <w:p>
      <w:r>
        <w:rPr>
          <w:color w:val="666666"/>
          <w:sz w:val="20"/>
        </w:rPr>
        <w:t xml:space="preserve">Вопросы без парных цитат — уточнения по составу работ и условиям.</w:t>
      </w:r>
    </w:p>
    <w:p>
      <w:r>
        <w:rPr>
          <w:b/>
        </w:rPr>
        <w:t xml:space="preserve">Q-01. </w:t>
      </w:r>
      <w:r>
        <w:t xml:space="preserve">Каков календарный график этапов БИ и требуемая дата полного выпуска по каждому лоту?</w:t>
      </w:r>
    </w:p>
    <w:p>
      <w:r>
        <w:rPr>
          <w:b/>
        </w:rPr>
        <w:t xml:space="preserve">Ответ: </w:t>
      </w:r>
      <w:r>
        <w:t xml:space="preserve">Частично закрыт проектом этапности от 25.08.2026 (прислан отдельно, вне редакции v4.1): Этап 1 — 3 месяца, предварительный отчёт БИ (ПЗ + PFD, компоновки, спецификация оборудования, опросные листы, исходные требования на длинноцикловое оборудование); Этап 2 — итоговый отчёт (+P&amp;ID, нагрузки, электрочасть, КИПиА, АСУ, тепловыделения/вредности), срок НЕ указан. Открыто: срок Этапа 2, разбивка по лотам, размещение стоимостного блока и позиций вне этапов — вынесено отдельным вопросом Q-11.</w:t>
      </w:r>
    </w:p>
    <w:p>
      <w:r>
        <w:rPr>
          <w:b/>
        </w:rPr>
        <w:t xml:space="preserve">Q-02. </w:t>
      </w:r>
      <w:r>
        <w:t xml:space="preserve">Какой вариант дутья принимается за базовый для компоновки и стоимости — кислородный (основной) или с подогревом дутья (вспомогательный)?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Q-03. </w:t>
      </w:r>
      <w:r>
        <w:t xml:space="preserve">Допускается ли поставка технологических агрегатов неросcийского производства, и в каком объёме требуется согласование по каждому отступлению от Приложения №5?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Q-04. </w:t>
      </w:r>
      <w:r>
        <w:t xml:space="preserve">Предоставляются ли обмерные чертежи и данные обследования существующих зданий ЦЭМ и ГМУ, или обследование входит в объём Исполнителя БИ?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Q-05. </w:t>
      </w:r>
      <w:r>
        <w:t xml:space="preserve">Какова точность оценки стоимости, требуемая на выходе БИ (класс сметы), и в каких ценах — текущих или прогнозных?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Q-06. </w:t>
      </w:r>
      <w:r>
        <w:t xml:space="preserve">Кто отвечает за технологические гарантии в части показателей, заданных ИД Гипроникеля, а не выбором оборудования?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Q-07. </w:t>
      </w:r>
      <w:r>
        <w:t xml:space="preserve">Требуется ли в составе БИ проработка обоих вариантов (основного и вспомогательного) в полном объёме или достаточно основного с оценкой вспомогательного?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Q-08. </w:t>
      </w:r>
      <w:r>
        <w:t xml:space="preserve">Подтверждается ли использование существующего подъёмно-транспортного оборудования ЦЭМ после модернизации, и кто определяет объём этой модернизации?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Q-09. </w:t>
      </w:r>
      <w:r>
        <w:t xml:space="preserve">Подтвердить базис размещения Лотов №2–4: ТЗ (п.2.8.5) и Приложение №6 исходят из существующих зданий ЦЭМ/ГМУ, однако зданий под размещение нет — закладываем новое строительство (корпус ЭЭ 36×190 м, купорос, склад). При этом Прил.№6 не применяется, в состав БИ добавляются посадка на генплан и полные строительные нагрузки новых корпусов, CAPEX +7–10 млрд ₽, срок +18–24 мес. Какой сценарий фиксируем в БИ? (ТЗ Лота №3 само пишет «в проектируемом здании» — противоречие с Прил.№6.)</w:t>
      </w:r>
    </w:p>
    <w:p>
      <w:r>
        <w:rPr>
          <w:b/>
        </w:rPr>
        <w:t xml:space="preserve">Ответ: </w:t>
      </w:r>
      <w:r>
        <w:t xml:space="preserve">Закрыт ТЗ v4.1 от 25.08.2026: п.1.3 — «Предусматривается новое строительство объектов комплекса ОВЭ на свободной территории Промплощадки КГМК по варианту размещения, принятому Заказчиком»; пометки «(существующие здания)»/«(новое строительство)» в таблице объектов вычеркнуты (зачёркнутое = исключено) — базис един для всех лотов. Открытыми остаются статус обмерных Прил.№6/№7 (C-94) и выдача генплана (Q-10).</w:t>
      </w:r>
    </w:p>
    <w:p>
      <w:r>
        <w:rPr>
          <w:b/>
        </w:rPr>
        <w:t xml:space="preserve">Q-10. </w:t>
      </w:r>
      <w:r>
        <w:t xml:space="preserve">Предоставить принятый Заказчиком «вариант размещения» объектов комплекса ОВЭ (генплан свободной территории: границы участка, отметки, привязки к существующим сетям и дорогам) в составе ИД. ТЗ v4.1 п.1.3 ссылается на «вариант размещения, принятый Заказчиком», но в пакете его нет — без него посадка новых корпусов, трассировка межцеховых коммуникаций и оценка внутриплощадочных сетей в БИ невозможны.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p>
      <w:r>
        <w:rPr>
          <w:b/>
        </w:rPr>
        <w:t xml:space="preserve">Q-11. </w:t>
      </w:r>
      <w:r>
        <w:t xml:space="preserve">По проекту этапности БИ (прислан 25.08.2026, вне редакции v4.1): внести этапность в ТЗ/договор, зафиксировав сроки — Этап 1: 3 месяца с начала работ по БИ; Этап 2: 3 месяца после завершения Этапа 1; общий срок выпуска БИ — не более 6 месяцев. Подтвердить разбивку по лотам (четыре отчёта или единый). Позиции, не названные в этапах, распределить с приоритетом сметно-бюджетного контура: разделы, необходимые для расчёта смет и бюджетирования оборудования (стоимостной блок, нетиповое оборудование, тепловые балансы, целевые показатели), — в Этапы 1–2; данные экологического блока (выбросы для ОВОС) и иные несметные разделы — допустимо выделить отдельным этапом после итогового отчёта.</w:t>
      </w:r>
    </w:p>
    <w:p>
      <w:r>
        <w:rPr>
          <w:b/>
        </w:rPr>
        <w:t xml:space="preserve">Ответ: </w:t>
      </w:r>
      <w:r>
        <w:rPr>
          <w:color w:val="888888"/>
        </w:rPr>
        <w:t xml:space="preserve">____________________________________________________________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reestr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