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01.09.2026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(оценка — в расчётной записке КВАНТ); размещение в существующем здании Гидрометаллургического участка (ГМУ, бывший корпус «Минпрок», чертежи Приложения №7 к ТЗ — ФМ.01648) сохраняется как резервный сценарий А.</w:t>
      </w:r>
    </w:p>
    <w:p>
      <w:r>
        <w:rPr>
          <w:sz w:val="20"/>
        </w:rPr>
        <w:t xml:space="preserve">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опустела, перекрёстные ссылки на границы даны и как п.4.3, и как п.5.3 — обе позиции вынесены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баланса меди ≈0,06 т/год (&lt;0,01 % входа).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560–816 кг/ч (интервальное произведение независимых границ; сопряжённые пары расход/концентрация ИД табл. 5.6 дали бы 646–708).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≈0,06 т/год (&lt;0,01 %)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Ду 350–400 мм; нитка 2 (139 м³/ч): ≈0,20 м → Ду 200–250 мм; ПЭБ (32 и 18 м³/ч): Ду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Ду 350–400; н.2 — Ду 200–250; ПЭБ — Ду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предыдущей редакции ТЗ;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пуста; перекрёстные ссылки даны и как п. 4.3, и как п. 5.3, см. «Общие сведения»). На PFD границы наносятся в редакции v4.1; воздух КИП — по предыдущей редакции ТЗ до восстановления строки.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(принято в редакции v4.1)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Ду 50, 904L;
— маточник-1 в нитку 2: 1,42 м³/ч → Ду 25–32, 904L, c обогревом (бак 4.1.5);
— контур циркуляции нитки 1: 633 м³/ч → d = √(4×0,176/(π×2,4)) = 0,31 м → Ду 300–350, 904L; нитки 2: 251 м³/ч → 0,20 м → Ду 200, 904L;
— соковый пар (объёмные потоки по табл. 4.1 ИД): I ст. н.1 49 417 м³/ч → d = √(4×13,73/(π×50)) = 0,59 м → Ду 600; II ст. н.1 23 032 м³/ч → 0,40 м → Ду 400; I ст. н.2 17 647 м³/ч → 0,35 м → Ду 350; II ст. н.2 5 530 м³/ч → 0,20 м → Ду 200; исполнение 904L (влажный кислый пар с уносом капель);
— глухой пар 0,6 МПа (v″ = 0,316 м³/кг): н.1 2,1 т/ч = 663 м³/ч → d = √(4×0,184/(π×35)) = 0,082 м → Ду 80–100; н.2 0,9 т/ч → Ду 65; рабочий пар эжекторов/ПЭБ: н.1 1,02 т/ч → Ду 50, н.2 0,34 т/ч → Ду 32–40 — сталь по ГОСТ 32569;
— конденсат глухого пара: 3,0 т/ч → Ду 32–40;
— кислая СОВ: конденсатор н.1 380 м³/ч → d = √(4×0,106/(π×1,8)) = 0,27 м → Ду 300 (подача и возврат); н.2 138 м³/ч → Ду 150–200; конденсаторы ПЭБ 32/18 м³/ч → Ду 80–100/65 — кислотостойкое исполнение (до 0,5 г/л H₂SO₄, ИД п. 2.5); барометрические трубы — см. раздел «Вакуумная система» (Ду 350–400 / 200–250 / 100–125);
— маточник-2 в ЦЭН: 0,22 м³/ч — Ду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(расчётная записка КВАНТ)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(состав БИ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питание Ду 50; циркуляция Ду 300–350/200; соковый пар Ду 600/400/350/200; глухой пар Ду 80–100/65; СОВ Ду 300/150–200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P&amp;ID;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Ду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— параметры приняты по предыдущей редакции ТЗ до подтверждения. ТУ на подключение запрашивает Заказчик; БИ выдаёт исходные данные для запроса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(расчётная записка КВАНТ) — детально см. раздел «Электроснабжение и электрооборудование».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(расчётная записка КВАНТ;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(соответствующий пункт Прил. №3 для лота неактуален).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 (ИД табл. 8.5 + досчёты)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(принято в редакции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гарантийная рамка расчётной записки КВАНТ в разделе «Сырьё и продукция»), удельный расход пара (расчётный базис GOR 0,76 кг испарённой воды/кг пара — расчётная записка КВАНТ);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расчётная записка КВАНТ (гарантийная рамка)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Ду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(расчётная записка КВАНТ).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элементами; библиотечный компонент на каждый типоразмер; LOI — по листу «Стадия БИ_ТХ» нового Прил. 1 (только оборудование ТХ и ЭОМ/СС/АК; листов АР/КР нет — сняты в ред. 2); классификация элементов IFC по типам/категориям/классам (в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компоновочная основа — расчётная записка КВАНТ)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(по ред. 2; было раз в 2); состав передачи — исходники, IFC, сводная модель, отчёт «Описание ЦИМ» (по ред. 2; LandXML исключён); инструментальная среда — перечень ПО ред. 2 «рекомендуемый», применяемое ПО согласуется с Заказчиком.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(Прил. 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(принято в редакции v4.1);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нумерация) — с учётом поставки АСУ с прикладным программным обеспечением. Класс точности оценки (Class 3, ±15–20 %) зафиксировать в договоре.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p>
      <w:pPr>
        <w:pStyle w:val="Heading2"/>
      </w:pPr>
      <w:r>
        <w:rPr>
          <w:b/>
          <w:sz w:val="26"/>
        </w:rPr>
        <w:t xml:space="preserve">Закладные решения для последующей цифровизации</w:t>
      </w:r>
    </w:p>
    <w:p>
      <w:r>
        <w:rPr>
          <w:sz w:val="20"/>
        </w:rPr>
        <w:t xml:space="preserve">По решению Заказчика в базовый состав Лота №2 вносятся закладные решения под последующую цифровизацию участка — элементы, дешёвые на стадии строительства и дорогие (или требующие останова) при дооснащении: врезки и байпасы с отсечной арматурой, штуцеры, фланцевые петли, резервные гильзы, площадки с фундаментами, кабельные и сетевые резервы, а также требования в опросных листах оборудования. Закладные обеспечивают ввод решений реестра идей эффективности (расчётный контроль пересыщения, контроль зарастания подогревателей, поточная гранулометрия, модельно-прогнозирующее управление выпаркой, прогноз отсечки по балансу примесей, утилизация сбросного тепла) без остановов ниток и без переделок обвязки. Принятая технология, состав основного оборудования и контуры регулирования БИ при этом не меняются; гарантии по производительности и качеству купоросов закладные не затрагивают.</w:t>
      </w:r>
    </w:p>
    <w:p>
      <w:r>
        <w:rPr>
          <w:sz w:val="20"/>
        </w:rPr>
        <w:t xml:space="preserve">Оформление — штатными инструментами БИ: врезки и контуры — в P&amp;ID и перечень линий; требования к машинам — строками опросных листов (испарители, центрифуги, вакуум-фильтры, узел фасовки); строительные и энергетические резервы — заданиями смежным разделам (строительный, ОВиК, электроснабжение); измерительные каналы — в перечень сигналов АСУ в пределах нормируемого резерва каналов ≥30 % (Прил. №5). Сами опции (поточные анализаторы, тепловые насосы, серверы оптимизации, прикладные модели) в объём поставки Лота №2 не входят и оцениваются отдельно по разделу 2 реестра.</w:t>
      </w:r>
    </w:p>
    <w:p>
      <w:r>
        <w:rPr>
          <w:sz w:val="20"/>
        </w:rPr>
        <w:t xml:space="preserve">Стоимость закладных лежит в пределах точности бюджетной оценки лота (арматура, фланцевые пары, гильзы, короба, метизы) и отдельной строкой не выделяется; в спецификациях и опросных листах позиции помечаются признаком «Закладная (цифровизация)» — для контроля сохранности при рабочем проектировании и при приёмке монтажа. Средства измерений, добавляемые по закладным, применяются только из Госреестра СИ, поверенными по 102-ФЗ.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Байпасы под плотномеры маточника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— 904L; замена прибора без останова нитки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21;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зарастания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в кислотостойком исполнении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Закладные под поточную гранулометрию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— в опросные листы испарителей; питание 230 В и сетевые порты на этажерке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Узел возврата конденсата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Контур маршрутизации по качеству — в P&amp;ID: кондуктометр, pH-метр, расходомер, два футерованных клапана, насос; линия Ду50 от приямков за гидрозатворами до узла растворения; профицит кислой СОВ 4,7 м³/ч, замещение до 39 тыс. м³/год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Узел фасовки — автоматическая станция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Требования опросного листа: подача и обжим горловины, дозирование, виброуплотнение без постоянного присутствия людей; СВЧ-влагомер на ленте; автоматический пробоотборник; печать QR-этикетки; блокировка отгрузки контейнера до подтверждения электронного паспорта партии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Штуцеры на обратках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Штуцеры Ду150–200 с отсечной арматурой на обратках нейтральной и кислой систем оборотного водоснабжения — под будущий отбор сбросного тепла с водяной стороны; технологический контур не затрагивается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Резерв под тепловые насосы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Площадка 12×6 м с фундаментом и кабельный резерв 0,4–0,8 МВт (сторона 0,4 кВ) у насосной; гильзы под трассы к тепловым пунктам; задание смежному разделу ОВиК — калориферы приточных установок на низкотемпературный график 70/40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6; задание смежникам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Регулируемая отсечка на выпарку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опросном листе выпарки — регулируемый диапазон отсечки (не фиксированное значение); байпасные пробоотборные линии Ду25 с площадками обслуживания под будущий поточный анализатор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Арматура и гильзы под усовершенствованное управление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Регулирующие клапаны греющего пара с позиционерами вместо отсечных; резервные гильзы температур по высоте аппаратов; прецизионные вакуумметры — в перечень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Теплосчётчики участка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Узлы учёта тепла на греющем паре, возвращаемом конденсате и контурах СОВ участка — база для водного и теплового баланса и последующего технико-экономического обоснования утилизации тепла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пп. 6, 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Секундный архив тегов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аналоговые теги участка — в архив хранилища технологических данных с шагом 1 с; объём каналов — в пределах резерва ≥30 % по Прил. №5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21; разд. 2 п. 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Мониторинг состояния динамического оборудования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опросные листы машин с приводом свыше 30 кВт (центрифуги, циркуляционные и вакуумные насосы, воздуходувки) — раздел «мониторинг состояния»: вибрация, температура подшипников, ток привода как значения, а не биты; карта Modbus-регистров — в составе документации поставщика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пп. 7, 14; разд. 1.3 п. 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 — оформление врезок, байпасов и измерительных каналов закладных; ФЗ-102 от 26.06.2008; ГОСТ Р 8.596-2002 — Средства измерений по закладным — из Госреестра СИ, с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закладных подтверждается Заказчиком протоколом при защите БИ; не подтверждённые позиции переводятся в раздел опций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Признак «Закладная (цифровизация)» в спецификациях и опросных листах — проконтролировать сохранность позиций при рабочем проектировании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lot2 pz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