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ОЛ-ОВЭ75-05</w:t>
      </w:r>
    </w:p>
    <w:p>
      <w:r>
        <w:rPr>
          <w:b/>
          <w:sz w:val="28"/>
        </w:rPr>
        <w:t xml:space="preserve">Дымосос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два канала на опору — горизонтальное и вертикальное направления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ЧРП — обязательное решение вместо направляющего аппарата (нормировано 400 кВт при потребных 150–250 кВт; экономия 0,7–1,2 ГВт·ч/год); регулирование по разрежению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токовая диагностика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измерительные трансформаторы тока фидера 6 кВ под токосигнатурный анализ двигателя 400 кВт — требование в задание на КРУ 6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значений (не битовых статусов) вибрации, температур подшипников, наработки, счётчиков пусков и токов по Modbus TCP; карта 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dymosos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