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ОВЭ75-RFQ-21</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Весовое оборудование коммерческого учёта.</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Класс точности «высокий»; открытые программные компоненты для автоматической передачи данных; комплект калибровочных грузов и ЗИП на 2 года.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OVE75-RFQ-21</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Certified weighing equipment for commercial metering.</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ОВЭ75-RFQ-21 / To RFQ No. OVE75-RFQ-21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Весовое оборудование коммерческого учёта</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Класс точности «высокий»; открытые программные компоненты для автоматической передачи данных; комплект калибровочных грузов и ЗИП на 2 года</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Наличие в Госреестре СИ РФ и поставка с первичной поверкой — обязательно</w:t>
            </w:r>
          </w:p>
        </w:tc>
      </w:tr>
    </w:tbl>
    <w:p>
      <w:r>
        <w:rPr>
          <w:b/>
          <w:sz w:val="20"/>
        </w:rPr>
        <w:t xml:space="preserve">Состав позиции по перечню оборудования — Equipment covered by this request:</w:t>
      </w:r>
    </w:p>
    <w:p>
      <w:r>
        <w:rPr>
          <w:b/>
          <w:sz w:val="21"/>
        </w:rPr>
        <w:t xml:space="preserve">1. Оборудование коммерческого учёта и формирования партий</w:t>
      </w:r>
      <w:r>
        <w:rPr>
          <w:color w:val="888888"/>
          <w:sz w:val="16"/>
        </w:rPr>
        <w:t xml:space="preserve">   Учёт</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Взвешивание, учёт, формирование отгрузочных партий с оформлением стандартизированной сопроводительной документации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Класс точности весового оборудования — «высокий» (Прил. №5); поставка с калибровочными грузами и ЗИП на 2 года</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21 scale</dc:title>
  <dc:creator>ООО «КВАНТ»</dc:creator>
  <cp:lastModifiedBy>ООО «КВАНТ»</cp:lastModifiedBy>
  <dcterms:created xsi:type="dcterms:W3CDTF">2026-09-01T09:00:00Z</dcterms:created>
  <dcterms:modified xsi:type="dcterms:W3CDTF">2026-09-01T09:00:00Z</dcterms:modified>
</cp:coreProperties>
</file>