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ОЛ-ОВЭ75-05</w:t>
      </w:r>
    </w:p>
    <w:p>
      <w:r>
        <w:rPr>
          <w:b/>
          <w:sz w:val="28"/>
        </w:rPr>
        <w:t xml:space="preserve">Дымосос</w:t>
      </w:r>
    </w:p>
    <w:p>
      <w:r>
        <w:rPr>
          <w:color w:val="666666"/>
          <w:sz w:val="18"/>
        </w:rPr>
        <w:t xml:space="preserve">Лот №1 · Цех обжига · участок: Газоочистка · сформирован 01.09.2026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Дымосос · ДН-15БНЖ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Типоразмер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ДН-15БНЖ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Перемещение газа по газовому тракту, подача очищенного газа в СКЦ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Производительность по газу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До 78 000 м³/ч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Количество / комплектация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 шт. (1 резерв), 400 кВт, 6 кВ, 1500 об/мин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п.380-392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Сталь 12Х18Н10Т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марка нормализована (в ИД опечатка «12Х1812Т»)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Привод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400 кВт, 6000 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Динамика (частота возмущения, масса агрегата)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25 Гц (1500 об/мин), агрегат 5,64 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п.391-392, 397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Массы дымососа / двигателя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3,32 т / 2,32 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п.392, 397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Температура перемещаемого газа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387 °C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23 п.403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Годовой расход электроэнергии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3 168 000 кВт·ч/год (44,454 кВт·ч/т Cu)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26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Полное давление (напор)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подтвердить в ТКП (ориентир ИД: 1650–7800 Па)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Регулирование производительности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рекомендован ЧРП — подтвердить схему регулирования в ТКП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Класс балансировки ротора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изготовителя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площадки под вибродатчики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обработанные площадки и шпильки под акселерометры на всех подшипниковых опорах (заводская комплектация); два канала на опору — горизонтальное и вертикальное направления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ред. 2.0, п. 1/11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частотно-регулируемый привод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ЧРП — обязательное решение вместо направляющего аппарата (нормировано 400 кВт при потребных 150–250 кВт; экономия 0,7–1,2 ГВт·ч/год); регулирование по разрежению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ред. 2.0, п. 1/31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токовая диагностика двигателя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измерительные трансформаторы тока фидера 6 кВ под токосигнатурный анализ двигателя 400 кВт — требование в задание на КРУ 6 кВ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ред. 2.0, п. 1/11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раздел «мониторинг состояния»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выдача значений (не битовых статусов) вибрации, температур подшипников, наработки, счётчиков пусков и токов по Modbus TCP; карта регистров — в составе документации поставщика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ред. 2.0, п. 1/35</w:t>
            </w:r>
          </w:p>
        </w:tc>
      </w:tr>
    </w:tbl>
    <w:p>
      <w:r>
        <w:rPr>
          <w:color w:val="8A6200"/>
          <w:sz w:val="17"/>
        </w:rPr>
        <w:t xml:space="preserve">Жёлтым выделено «уточняется по ТКП» — заполняет поставщик; остальные значения — исходные требования Заказчика (ИД/ТЗ) и решения БИ КВАНТ.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(жёлтые поля)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equipment.json (перечень по ИД/ТЗ) и bi_lot1.json (инженерные решения БИ); сборка — ove/tools/build_specs.py, 01.09.2026.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ol dymosos</dc:title>
  <dc:creator>ООО «КВАНТ»</dc:creator>
  <cp:lastModifiedBy>ООО «КВАНТ»</cp:lastModifiedBy>
  <dcterms:created xsi:type="dcterms:W3CDTF">2026-09-01T09:00:00Z</dcterms:created>
  <dcterms:modified xsi:type="dcterms:W3CDTF">2026-09-01T09:00:00Z</dcterms:modified>
</cp:coreProperties>
</file>