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color w:val="888888"/>
          <w:sz w:val="18"/>
        </w:rPr>
        <w:t xml:space="preserve">ФОРМА · цены и условия вносит владелец перед подачей — в файле только структура · ЭТУ СТРОКУ УДАЛИТЬ</w:t>
      </w:r>
    </w:p>
    <w:p>
      <w:pPr>
        <w:keepNext/>
        <w:spacing w:after="40"/>
        <w:jc w:val="left"/>
      </w:pPr>
      <w:r>
        <w:rPr>
          <w:b/>
          <w:color w:val="1F3864"/>
          <w:sz w:val="28"/>
        </w:rPr>
        <w:t xml:space="preserve">ООО «КВАНТ»</w:t>
      </w:r>
    </w:p>
    <w:p>
      <w:pPr>
        <w:pBdr>
          <w:bottom w:val="single" w:sz="12" w:space="4" w:color="1F3864"/>
        </w:pBdr>
        <w:spacing w:after="320"/>
        <w:jc w:val="left"/>
      </w:pPr>
      <w:r>
        <w:rPr>
          <w:color w:val="595959"/>
          <w:sz w:val="16"/>
        </w:rPr>
        <w:t xml:space="preserve">[ИНН/КПП/ОГРН, юридический адрес, телефон, e-mail — реквизиты компании]</w:t>
      </w:r>
    </w:p>
    <w:p>
      <w:pPr>
        <w:pStyle w:val="Heading1"/>
      </w:pPr>
      <w:r>
        <w:t xml:space="preserve">Коммерческое предложение. Базовый инжиниринг ОВЭ-75</w:t>
      </w:r>
    </w:p>
    <w:p>
      <w:pPr>
        <w:spacing w:after="240"/>
        <w:jc w:val="center"/>
      </w:pPr>
      <w:r>
        <w:rPr>
          <w:color w:val="595959"/>
          <w:sz w:val="20"/>
        </w:rPr>
        <w:t xml:space="preserve">ООО «КВАНТ» · к конкурсной процедуре КГМК.ОВЭ-75 · действительно до [дата]</w:t>
      </w:r>
    </w:p>
    <w:tbl>
      <w:tblPr>
        <w:tblW w:w="10206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206"/>
        <w:gridCol w:w="2000"/>
        <w:gridCol w:w="2000"/>
        <w:gridCol w:w="2000"/>
      </w:tblGrid>
      <w:tr>
        <w:trPr>
          <w:tblHeader/>
        </w:trPr>
        <w:tc>
          <w:tcPr>
            <w:tcW w:w="4206" w:type="dxa"/>
            <w:shd w:val="clear" w:fill="D9D9D9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0"/>
              </w:rPr>
              <w:t xml:space="preserve">Предмет</w:t>
            </w:r>
          </w:p>
        </w:tc>
        <w:tc>
          <w:tcPr>
            <w:tcW w:w="2000" w:type="dxa"/>
            <w:shd w:val="clear" w:fill="D9D9D9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0"/>
              </w:rPr>
              <w:t xml:space="preserve">Этап 1, руб. без НДС</w:t>
            </w:r>
          </w:p>
        </w:tc>
        <w:tc>
          <w:tcPr>
            <w:tcW w:w="2000" w:type="dxa"/>
            <w:shd w:val="clear" w:fill="D9D9D9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0"/>
              </w:rPr>
              <w:t xml:space="preserve">Этап 2, руб. без НДС</w:t>
            </w:r>
          </w:p>
        </w:tc>
        <w:tc>
          <w:tcPr>
            <w:tcW w:w="2000" w:type="dxa"/>
            <w:shd w:val="clear" w:fill="D9D9D9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0"/>
              </w:rPr>
              <w:t xml:space="preserve">Итого, руб. без НДС</w:t>
            </w:r>
          </w:p>
        </w:tc>
      </w:tr>
      <w:tr>
        <w:tc>
          <w:tcPr>
            <w:tcW w:w="4206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sz w:val="20"/>
              </w:rPr>
              <w:t xml:space="preserve">Лот №1 — Цех обжига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</w:tr>
      <w:tr>
        <w:tc>
          <w:tcPr>
            <w:tcW w:w="4206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sz w:val="20"/>
              </w:rPr>
              <w:t xml:space="preserve">Лот №2 — Участок получения медного и медно-никелевого купороса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</w:tr>
      <w:tr>
        <w:tc>
          <w:tcPr>
            <w:tcW w:w="4206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sz w:val="20"/>
              </w:rPr>
              <w:t xml:space="preserve">Лот №3 — Отделение электроэкстракции меди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</w:tr>
      <w:tr>
        <w:tc>
          <w:tcPr>
            <w:tcW w:w="4206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sz w:val="20"/>
              </w:rPr>
              <w:t xml:space="preserve">Лот №4 — Склад готовой продукции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</w:tr>
      <w:tr>
        <w:tc>
          <w:tcPr>
            <w:tcW w:w="4206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sz w:val="20"/>
              </w:rPr>
              <w:t xml:space="preserve">ЦИМ стадии БИ (отдельный этап)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  <w:tc>
          <w:tcPr>
            <w:tcW w:w="2000" w:type="dxa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color w:val="B22222"/>
                <w:sz w:val="20"/>
              </w:rPr>
              <w:t xml:space="preserve">[______]</w:t>
            </w:r>
          </w:p>
        </w:tc>
      </w:tr>
      <w:tr>
        <w:tc>
          <w:tcPr>
            <w:tcW w:w="4206" w:type="dxa"/>
            <w:shd w:val="clear" w:fill="EDEDED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b/>
                <w:sz w:val="20"/>
              </w:rPr>
              <w:t xml:space="preserve">ИТОГО</w:t>
            </w:r>
          </w:p>
        </w:tc>
        <w:tc>
          <w:tcPr>
            <w:tcW w:w="2000" w:type="dxa"/>
            <w:shd w:val="clear" w:fill="EDEDED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color w:val="B22222"/>
                <w:sz w:val="20"/>
              </w:rPr>
              <w:t xml:space="preserve">[______]</w:t>
            </w:r>
          </w:p>
        </w:tc>
        <w:tc>
          <w:tcPr>
            <w:tcW w:w="2000" w:type="dxa"/>
            <w:shd w:val="clear" w:fill="EDEDED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color w:val="B22222"/>
                <w:sz w:val="20"/>
              </w:rPr>
              <w:t xml:space="preserve">[______]</w:t>
            </w:r>
          </w:p>
        </w:tc>
        <w:tc>
          <w:tcPr>
            <w:tcW w:w="2000" w:type="dxa"/>
            <w:shd w:val="clear" w:fill="EDEDED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color w:val="B22222"/>
                <w:sz w:val="20"/>
              </w:rPr>
              <w:t xml:space="preserve">[______]</w:t>
            </w:r>
          </w:p>
        </w:tc>
      </w:tr>
    </w:tbl>
    <w:p>
      <w:r>
        <w:rPr>
          <w:sz w:val="19"/>
        </w:rPr>
        <w:t xml:space="preserve">Строка «ЦИМ стадии БИ» — отдельный этап по ТЗ на ЦИМ ред.2: по графам Этапов 1–2 не распределяется, учитывается в графе «Итого» и в строке «ИТОГО»; промежуточные выгрузки IFC выполняются раз в 4 недели в пределах общего срока не более 6 месяцев.</w:t>
      </w:r>
    </w:p>
    <w:p>
      <w:r>
        <w:rPr>
          <w:sz w:val="22"/>
        </w:rPr>
        <w:t xml:space="preserve">Итого с НДС: [сумма — вносит владелец после определения ставки].</w:t>
      </w:r>
    </w:p>
    <w:p>
      <w:r>
        <w:rPr>
          <w:sz w:val="22"/>
        </w:rPr>
        <w:t xml:space="preserve">Условия: оплата — [аванс/этапы, % — строго по платёжным условиям проекта договора организатора]; срок выполнения — предлагаем зафиксировать: Этап 1 — 3 месяца, Этап 2 — ещё 3 месяца, всего не более 6 месяцев; при закреплении указанных сроков в договоре принимаем их как обязательные; цена — [твёрдая на весь срок работ / порядок индексации]; НДС — [ставка/без НДС]; цена учитывает два полных цикла рассмотрения и снятия замечаний Заказчика по каждому этапу; порядок дополнительных итераций предлагаем согласовать при заключении договора; устранение недостатков документации, допущенных по вине Исполнителя, выполняется без дополнительной оплаты</w:t>
      </w:r>
    </w:p>
    <w:p>
      <w:r>
        <w:rPr>
          <w:sz w:val="19"/>
        </w:rPr>
        <w:t xml:space="preserve">Примечания: предложение подготовлено исходя из допущения, что «вариант размещения» (генплан) передаётся Исполнителю к дате начала работ (материал учтён в графике с первого дня; ТУ на подключение запрашиваются в первые 4 недели Этапа 1 и на срок работ не влияют); данное допущение направлено для рассмотрения на рабочей встрече и не является условием участия в процедуре. Изменение состава или глубины работ относительно ТЗ v4.1 оформляется дополнительным соглашением сторон.</w:t>
      </w:r>
    </w:p>
    <w:p>
      <w:pPr>
        <w:keepNext/>
        <w:spacing w:before="600" w:after="80"/>
        <w:jc w:val="left"/>
      </w:pPr>
      <w:r>
        <w:rPr>
          <w:sz w:val="22"/>
        </w:rPr>
        <w:t xml:space="preserve">[должность]</w:t>
      </w:r>
      <w:r>
        <w:rPr>
          <w:sz w:val="22"/>
        </w:rPr>
        <w:t xml:space="preserve">, действующий(ая) на основании </w:t>
      </w:r>
      <w:r>
        <w:rPr>
          <w:sz w:val="22"/>
        </w:rPr>
        <w:t xml:space="preserve">[Устава / доверенности № ___ от ___]</w:t>
      </w:r>
      <w:r>
        <w:rPr>
          <w:sz w:val="22"/>
        </w:rPr>
        <w:t xml:space="preserve">,</w:t>
      </w:r>
    </w:p>
    <w:p>
      <w:pPr>
        <w:keepNext/>
        <w:tabs>
          <w:tab w:val="right" w:pos="10206"/>
        </w:tabs>
        <w:spacing w:after="80"/>
        <w:jc w:val="left"/>
      </w:pPr>
      <w:r>
        <w:tab/>
      </w:r>
      <w:r>
        <w:rPr>
          <w:sz w:val="22"/>
        </w:rPr>
        <w:t xml:space="preserve">___________________ / </w:t>
      </w:r>
      <w:r>
        <w:rPr>
          <w:sz w:val="22"/>
        </w:rPr>
        <w:t xml:space="preserve">[Ф.И.О.]</w:t>
      </w:r>
      <w:r>
        <w:rPr>
          <w:sz w:val="22"/>
        </w:rPr>
        <w:t xml:space="preserve"> /</w:t>
      </w:r>
    </w:p>
    <w:p>
      <w:pPr>
        <w:spacing w:before="120"/>
      </w:pPr>
      <w:r>
        <w:rPr>
          <w:color w:val="595959"/>
          <w:sz w:val="20"/>
        </w:rPr>
        <w:t xml:space="preserve">М.П.</w:t>
      </w:r>
    </w:p>
    <w:sectPr>
      <w:headerReference w:type="default" r:id="rIdHdr"/>
      <w:footerReference w:type="default" r:id="rIdFtr"/>
      <w:pgSz w:w="11906" w:h="16838"/>
      <w:pgMar w:top="1134" w:right="850" w:bottom="1134" w:left="850" w:header="709" w:footer="567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BFBFBF"/>
      </w:pBdr>
      <w:spacing w:after="0" w:line="240" w:lineRule="auto"/>
      <w:jc w:val="center"/>
    </w:pPr>
    <w:r>
      <w:rPr>
        <w:color w:val="595959"/>
        <w:sz w:val="16"/>
      </w:rPr>
      <w:t>ООО «КВАНТ» · конкурсная процедура БИ КГМК.ОВЭ-75</w:t>
    </w:r>
  </w:p>
</w:ftr>
</file>

<file path=word/header1.xml><?xml version="1.0" encoding="utf-8"?>
<w:hdr xmlns:w="http://schemas.openxmlformats.org/wordprocessingml/2006/main">
  <w:p>
    <w:pPr>
      <w:spacing w:after="0" w:line="240" w:lineRule="auto"/>
      <w:jc w:val="right"/>
    </w:pPr>
    <w:r>
      <w:rPr>
        <w:color w:val="595959"/>
        <w:sz w:val="18"/>
      </w:rPr>
      <w:t xml:space="preserve">стр. </w:t>
    </w:r>
    <w:fldSimple w:instr=" PAGE ">
      <w:r>
        <w:rPr>
          <w:color w:val="595959"/>
          <w:sz w:val="18"/>
        </w:rPr>
        <w:t>1</w:t>
      </w:r>
    </w:fldSimple>
    <w:r>
      <w:rPr>
        <w:color w:val="595959"/>
        <w:sz w:val="18"/>
      </w:rPr>
      <w:t xml:space="preserve"> из </w:t>
    </w:r>
    <w:fldSimple w:instr=" NUMPAGES ">
      <w:r>
        <w:rPr>
          <w:color w:val="595959"/>
          <w:sz w:val="18"/>
        </w:rPr>
        <w:t>1</w:t>
      </w:r>
    </w:fldSimple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  <w:jc w:val="both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120" w:after="160"/>
      <w:jc w:val="center"/>
      <w:outlineLvl w:val="0"/>
    </w:pPr>
    <w:rPr>
      <w:b/>
      <w:color w:val="1F3864"/>
      <w:sz w:val="30"/>
    </w:rPr>
  </w:style>
  <w:style w:type="paragraph" w:styleId="Heading2">
    <w:name w:val="heading 2"/>
    <w:basedOn w:val="Normal"/>
    <w:pPr>
      <w:keepNext/>
      <w:spacing w:before="320" w:after="120"/>
      <w:jc w:val="left"/>
      <w:outlineLvl w:val="1"/>
    </w:pPr>
    <w:rPr>
      <w:b/>
      <w:color w:val="1F3864"/>
      <w:sz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