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ЧЕРНОВИК для внутреннего согласования · разделы с плейсхолдерами заполняет команда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pStyle w:val="Heading1"/>
      </w:pPr>
      <w:r>
        <w:t xml:space="preserve">Квалификационная справка участника. ООО «КВАНТ»</w:t>
      </w:r>
    </w:p>
    <w:p>
      <w:pPr>
        <w:spacing w:after="240"/>
        <w:jc w:val="center"/>
      </w:pPr>
      <w:r>
        <w:rPr>
          <w:color w:val="595959"/>
          <w:sz w:val="20"/>
        </w:rPr>
        <w:t xml:space="preserve">К конкурсной процедуре по Базовому инжинирингу КГМК.ОВЭ-75 · 27.08.2026</w:t>
      </w:r>
    </w:p>
    <w:p>
      <w:pPr>
        <w:pStyle w:val="Heading2"/>
      </w:pPr>
      <w:r>
        <w:t xml:space="preserve">1. Профиль компании</w:t>
      </w:r>
    </w:p>
    <w:p>
      <w:r>
        <w:rPr>
          <w:sz w:val="22"/>
        </w:rPr>
        <w:t xml:space="preserve">ООО «КВАНТ» — [краткий профиль: сорсинг и поставка промышленного оборудования, годы, штат]. Реквизиты: [ИНН/КПП/ОГРН, адрес].</w:t>
      </w:r>
    </w:p>
    <w:p>
      <w:pPr>
        <w:pStyle w:val="Heading2"/>
      </w:pPr>
      <w:r>
        <w:t xml:space="preserve">2. Релевантный опыт</w:t>
      </w:r>
    </w:p>
    <w:p>
      <w:r>
        <w:rPr>
          <w:sz w:val="22"/>
        </w:rPr>
        <w:t xml:space="preserve">Опыт участника по проекту формируется тремя линиями: собственные проекты поставки и комплектации промышленного оборудования (перечень ниже), персональные референсы ключевых специалистов (раздел 5 — суммарно [N] проектов в цветной металлургии), промышленные референсы привлечённого партнёра (по запросу организатора).</w:t>
      </w:r>
    </w:p>
    <w:p>
      <w:r>
        <w:rPr>
          <w:sz w:val="22"/>
        </w:rPr>
        <w:t xml:space="preserve">[перечень проектов поставки/инжиниринга: заказчик, предмет, год, объём — заполняет команда]</w:t>
      </w:r>
    </w:p>
    <w:p>
      <w:pPr>
        <w:pStyle w:val="Heading2"/>
      </w:pPr>
      <w:r>
        <w:t xml:space="preserve">3. Технологические партнёрства по проекту</w:t>
      </w:r>
    </w:p>
    <w:p>
      <w:r>
        <w:rPr>
          <w:sz w:val="22"/>
        </w:rPr>
        <w:t xml:space="preserve">Технологическое сопровождение — привлечённый партнёр с действующим опытом медной металлургии (готов участвовать в проекте от Базового инжиниринга до гарантийных испытаний; сведения, референсы и письмо-обязательство — по запросу организатора). Обязуемся представить организатору сведения о привлечённом партнёре, его референсы и письмо-обязательство об участии в проекте в течение 3 (трёх) рабочих дней с даты запроса. Дополнительно привлекаются изготовители оборудования электролиза с подтверждёнными референсами действующих производств; резерв усиления по отдельным разделам (строительная часть, электроснабжение) — специализированные проектные организации; перечень и референсы предоставляются по запросу организатора.</w:t>
      </w:r>
    </w:p>
    <w:p>
      <w:pPr>
        <w:pStyle w:val="Heading2"/>
      </w:pPr>
      <w:r>
        <w:t xml:space="preserve">4. Инструменты и задел по проекту</w:t>
      </w:r>
    </w:p>
    <w:p>
      <w:r>
        <w:rPr>
          <w:sz w:val="22"/>
        </w:rPr>
        <w:t xml:space="preserve">Собственная расчётная база по ОВЭ-75 (независимая модель: 21 блок, 40 сверок с ИД), реестр выверенных вопросов к пакету (подготовлен; передаётся Заказчику с предложением), план сорсинга — 114 верифицированных изготовителей по 27 закупочным позициям, черновики пояснительных записок по четырём лотам.</w:t>
      </w:r>
    </w:p>
    <w:p>
      <w:r>
        <w:rPr>
          <w:sz w:val="22"/>
        </w:rPr>
        <w:t xml:space="preserve">ЦИМ: [используемое ПО, форматы (IFC), специалисты и опыт выпуска моделей LOD/LOI].</w:t>
      </w:r>
    </w:p>
    <w:p>
      <w:pPr>
        <w:pStyle w:val="Heading2"/>
      </w:pPr>
      <w:r>
        <w:t xml:space="preserve">5. Кадровое обеспечение</w:t>
      </w:r>
    </w:p>
    <w:p>
      <w:r>
        <w:rPr>
          <w:sz w:val="22"/>
        </w:rPr>
        <w:t xml:space="preserve">[таблица ключевого персонала: роль, Ф.И.О., опыт, аттестации — заполняет команда]</w:t>
      </w:r>
    </w:p>
    <w:p>
      <w:pPr>
        <w:pStyle w:val="Heading2"/>
      </w:pPr>
      <w:r>
        <w:t xml:space="preserve">6. Разрешительные документы</w:t>
      </w:r>
    </w:p>
    <w:p>
      <w:r>
        <w:rPr>
          <w:sz w:val="22"/>
        </w:rPr>
        <w:t xml:space="preserve">[выписка из реестра членов СРО проектировщиков — номер, дата; иные допуски по перечню организатора]</w:t>
      </w:r>
    </w:p>
    <w:p>
      <w:pPr>
        <w:pStyle w:val="Heading2"/>
      </w:pPr>
      <w:r>
        <w:t xml:space="preserve">7. Система менеджмента качества</w:t>
      </w:r>
    </w:p>
    <w:p>
      <w:r>
        <w:rPr>
          <w:sz w:val="22"/>
        </w:rPr>
        <w:t xml:space="preserve">[сертификат ISO 9001 / процедуры нормоконтроля и верификации расчётов]</w:t>
      </w:r>
    </w:p>
    <w:p>
      <w:pPr>
        <w:pStyle w:val="Heading2"/>
      </w:pPr>
      <w:r>
        <w:t xml:space="preserve">8. Декларации участника</w:t>
      </w:r>
    </w:p>
    <w:p>
      <w:r>
        <w:rPr>
          <w:sz w:val="22"/>
        </w:rPr>
        <w:t xml:space="preserve">[не в стадии ликвидации/банкротства, отсутствие в РНП, отсутствие налоговой задолженности — по формам организатора]</w:t>
      </w:r>
    </w:p>
    <w:p>
      <w:pPr>
        <w:keepNext/>
        <w:tabs>
          <w:tab w:val="right" w:pos="10206"/>
        </w:tabs>
        <w:spacing w:before="600" w:after="80"/>
        <w:jc w:val="left"/>
      </w:pPr>
      <w:r>
        <w:rPr>
          <w:sz w:val="22"/>
        </w:rPr>
        <w:t xml:space="preserve">[должность подписанта]</w:t>
      </w: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