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12,48 %,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Суммарный выход твёрдых продуктов 123 883 т превышает загрузку на ~16 % — это **усвоенный кислород дутья**, связанный в оксиды (CuO, NiO, Fe₃O₄) и сульфаты;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12,48 %,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1,32 кг/ч; объём газа нарастает подсосами 12 129 → 12 673 → 13 066 → 13 262 нм³/ч; запылённость падает 241,5 → 127,1 → 32,6 → 0,1 г/нм³. (5) Охлаждение-отгрузка: тракт огарка 14,346 т/ч (макс.)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≈7,6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72,67 Cu (для смеси по табл. 23 п.477); 0,445 S;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72,67 % Cu / 0,445 % S,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