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</w:rPr>
        <w:t xml:space="preserve">ОВЭ-75 · Расчётная записка (независимый пересчёт КВАНТ)</w:t>
      </w:r>
    </w:p>
    <w:p>
      <w:r>
        <w:rPr>
          <w:sz w:val="20"/>
        </w:rPr>
        <w:t xml:space="preserve">АО «Кольская ГМК», комплекс «обжиг–выщелачивание–электроэкстракция» 75 000 т/год. Сборка 2026-08-27. К ТЗ на БИ v4.1 от 25.08.2026 (историческая база сверок — ИД ч.1/ч.2).</w:t>
      </w:r>
    </w:p>
    <w:p>
      <w:r>
        <w:rPr>
          <w:i/>
          <w:sz w:val="19"/>
        </w:rPr>
        <w:t xml:space="preserve">Независимый пересчёт КВАНТ: балансы и режимы восстановлены из первичных составов и физических констант и сверены с итогами ИД. Вердикты сверок: «сходится» — расхождение ≤1,5 %, «в допуске» — в границах допущений модели, «ВОПРОС» — требуется уточнение базиса у разработчика ИД. Расчёты выполнены по независимой модели КВАНТ; методика, допущения и исходные данные каждого расчёта открыты для проверки Заказчиком; методологические вопросы вынесены в предложения к документации. Инженерная рецензия: [Ф.И.О., дата — заполняется по итогам рецензии до защиты].</w:t>
      </w:r>
    </w:p>
    <w:p>
      <w:r>
        <w:rPr>
          <w:b/>
          <w:sz w:val="21"/>
        </w:rPr>
        <w:t xml:space="preserve">Итого: блоков 21, сверок 40 (сходится 34, в допуске 1, вопросов 5), вопросов к разработчику ИД (Гипроникель) — 11.</w:t>
      </w:r>
    </w:p>
    <w:p/>
    <w:p>
      <w:pPr>
        <w:pStyle w:val="Heading1"/>
      </w:pPr>
      <w:r>
        <w:rPr>
          <w:b/>
          <w:sz w:val="28"/>
        </w:rPr>
        <w:t xml:space="preserve">1. Вопросы к исходным данным</w:t>
      </w:r>
    </w:p>
    <w:p>
      <w:r>
        <w:rPr>
          <w:b/>
          <w:sz w:val="21"/>
        </w:rPr>
        <w:t xml:space="preserve">1. [к сведению] Газовые потоки ИД — часовые максимумы (K=1,15): тракт и СКЦ проверять именно на них</w:t>
      </w:r>
    </w:p>
    <w:p>
      <w:r>
        <w:rPr>
          <w:sz w:val="20"/>
        </w:rPr>
        <w:t xml:space="preserve">Независимый пересчёт SO₂: номинал 1 880,5 нм³/ч, максимум 2 162,6 нм³/ч — совпадает с 12 129 × 17,83 % = 2 162,6 нм³/ч только при K = 1,15. Просить Гипроникель подтвердить базис часовых потоков табл. 23.</w:t>
      </w:r>
    </w:p>
    <w:p>
      <w:r>
        <w:rPr>
          <w:b/>
          <w:sz w:val="21"/>
        </w:rPr>
        <w:t xml:space="preserve">2. [ВАЖНО] Кислород: норма расхода табл. 26 превышает балансовую потребность на ~16 %</w:t>
      </w:r>
    </w:p>
    <w:p>
      <w:r>
        <w:rPr>
          <w:sz w:val="20"/>
        </w:rPr>
        <w:t xml:space="preserve">Запросить у Гипроникеля базис нормы 37,121 млн нм³/год кислорода: коэффициент запаса к стехиометрии, принятый избыток дутья и обогащение 52 % O₂. Влияет на ТЭП (кислород — крупная статья затрат) и на выбор воздуходувки/кислородопровода.</w:t>
      </w:r>
    </w:p>
    <w:p>
      <w:r>
        <w:rPr>
          <w:b/>
          <w:sz w:val="21"/>
        </w:rPr>
        <w:t xml:space="preserve">3. [ВАЖНО] Тепловой эффект обжига 2,378 ГДж/т — запросить расчёт (наша оценка 2,7–2,9)</w:t>
      </w:r>
    </w:p>
    <w:p>
      <w:r>
        <w:rPr>
          <w:sz w:val="20"/>
        </w:rPr>
        <w:t xml:space="preserve">От теплового эффекта зависят автогенный режим (930 °C без топлива), обогащение дутья 52 % O₂ и пар КУ. Наша термохимическая оценка по стандартным энтальпиям выше принятой в ИД на 15–20 %. Просить вещественный расчёт реакций (доли Cu₂S/Cu₅FeS₄/CuS, степень окисления Fe) — иначе гарантии по пару и топливу принимаем с оговоркой.</w:t>
      </w:r>
    </w:p>
    <w:p>
      <w:r>
        <w:rPr>
          <w:b/>
          <w:sz w:val="21"/>
        </w:rPr>
        <w:t xml:space="preserve">4. [ВАЖНО] Электропотребление лота 1: потребители, не нормированные в ИД табл. 26, дают ≈ +50 % к учтённому</w:t>
      </w:r>
    </w:p>
    <w:p>
      <w:r>
        <w:rPr>
          <w:sz w:val="20"/>
        </w:rPr>
        <w:t xml:space="preserve">Воздуходувка дутья (≈216/409 кВт осн./вспом.), вакуум-насосы фильтрации и аспирация не нормированы в табл. 26 (ИД сам это оговаривает). Средняя нагрузка лота 1 ≈976 кВт против 625 кВт по учтённому. Кроме того, дымосос нормирован по установленной мощности (400 кВт) — базис нормирования ТЭП требует уточнения. Учесть в расчёте нагрузок и ТЭП.</w:t>
      </w:r>
    </w:p>
    <w:p>
      <w:r>
        <w:rPr>
          <w:b/>
          <w:sz w:val="21"/>
        </w:rPr>
        <w:t xml:space="preserve">5. [ВАЖНО] Cu в медном купоросе 25,7 % &gt; теоретических 25,45 % для CuSO₄·5H₂O</w:t>
      </w:r>
    </w:p>
    <w:p>
      <w:r>
        <w:rPr>
          <w:sz w:val="20"/>
        </w:rPr>
        <w:t xml:space="preserve">Запросить базис: на какую форму/влажность дан состав 25,7 % Cu (ТЗ п. 4.2). Чистый пентагидрат содержит 25,45 % Cu; 25,7 % достижимо только при частичном обезвоживании. Это формулировка гарантийного показателя продукта — принципиально для приёмо-сдаточных испытаний лота 2.</w:t>
      </w:r>
    </w:p>
    <w:p>
      <w:r>
        <w:rPr>
          <w:b/>
          <w:sz w:val="21"/>
        </w:rPr>
        <w:t xml:space="preserve">6. [уточнить] η в ИД задан неявно (≈89 % из табл. 3.1/4.2) — запросить подтверждение</w:t>
      </w:r>
    </w:p>
    <w:p>
      <w:r>
        <w:rPr>
          <w:sz w:val="20"/>
        </w:rPr>
        <w:t xml:space="preserve">η в ИД задан неявно: из табл. 3.1/4.2 следует ≈89 % (49,49 кг/ч при 47,04 кА; U_в = 2,05 В при w = 1 942 кВт·ч/т). Запросить подтверждение принятого значения у Гипроникеля. Значение нужно зафиксировать как гарантийный параметр (влияет на удельный расход электроэнергии 1 942 кВт·ч/т).</w:t>
      </w:r>
    </w:p>
    <w:p>
      <w:r>
        <w:rPr>
          <w:b/>
          <w:sz w:val="21"/>
        </w:rPr>
        <w:t xml:space="preserve">7. [ВАЖНО] Базис — новое строительство: подтверждён ТЗ v4.1 п.1.3; открыты статус Прил.№6/№7 и генплан</w:t>
      </w:r>
    </w:p>
    <w:p>
      <w:r>
        <w:rPr>
          <w:sz w:val="20"/>
        </w:rPr>
        <w:t xml:space="preserve">ТЗ v4.1 (25.08.2026, п.1.3) зафиксировало: «новое строительство объектов комплекса ОВЭ на свободной территории Промплощадки КГМК по варианту размещения, принятому Заказчиком»; пометки «(существующие здания)»/«(новое строительство)» в таблице объектов вычеркнуты (правило «зачёркнутое = исключено», 25.08) — базис един для всех лотов. Открыто: статус обмерных Прил.№6/№7 в перечне приложений и выдача «варианта размещения» (генплана) в составе ИД — без него посадка корпусов и внутриплощадочные сети в БИ не считаются. Наша компоновка нового корпуса — блок L3-NB; капитальные затраты и строительный цикл нового строительства учтены в CAPEX-оценке (блок X-NB).</w:t>
      </w:r>
    </w:p>
    <w:p>
      <w:r>
        <w:rPr>
          <w:b/>
          <w:sz w:val="21"/>
        </w:rPr>
        <w:t xml:space="preserve">8. [ВАЖНО] Титульная производительность 75 000 т/год требует сырьевого баланса сверх ИД табл. 22 (расчётная обеспеченность ≈94 %)</w:t>
      </w:r>
    </w:p>
    <w:p>
      <w:r>
        <w:rPr>
          <w:sz w:val="20"/>
        </w:rPr>
        <w:t xml:space="preserve">Сырьё ИД табл. 22 после вычета потерь и уходов Cu со смешанным купоросом даёт ≈70,3 тыс. т к катоду; расчётная производительность ИД ч.2 — 69,25 тыс. т. Гарантийную формулировку строить двумя строками: «мощность оборудования — 75 000 т/год; годовой выпуск при сырье по ИД табл. 22 — 69,3 тыс. т ±1 %». Спросить Заказчика, планируется ли дозагрузка сырьём сверх ИД.</w:t>
      </w:r>
    </w:p>
    <w:p>
      <w:r>
        <w:rPr>
          <w:b/>
          <w:sz w:val="21"/>
        </w:rPr>
        <w:t xml:space="preserve">9. [ВАЖНО] Кислотная точка росы газов ≈221/209 °C — заложить требования к стенкам тракта (≥240 °C) и продувке при остановках</w:t>
      </w:r>
    </w:p>
    <w:p>
      <w:r>
        <w:rPr>
          <w:sz w:val="20"/>
        </w:rPr>
        <w:t xml:space="preserve">SO₃ 0,72 % даёт высокую точку росы. В БИ включить: тепловую изоляцию с контролем холодных мостов, обогрев бункеров ЭФ, регламент продувки при остановках, материал узлов подсосов. Это гарантийный фактор межремонтного пробега газового тракта.</w:t>
      </w:r>
    </w:p>
    <w:p>
      <w:r>
        <w:rPr>
          <w:b/>
          <w:sz w:val="21"/>
        </w:rPr>
        <w:t xml:space="preserve">10. [к сведению] Габарит печи КС найден в ИД ч.1 (стр. 417): конус Ø6000→8390, 583 сопла — модель и CFD-кейс обновлены</w:t>
      </w:r>
    </w:p>
    <w:p>
      <w:r>
        <w:rPr>
          <w:sz w:val="20"/>
        </w:rPr>
        <w:t xml:space="preserve">Ранее запрашивали табл. 24/25 — не требуется: геометрия есть в тексте разд. 2.3. Наша проверка: слой ~2 м, напряжённость по зеркалу ~7 т/(м²·сут) — конструкция консистентна. Для CFD остаётся запросить: живое сечение решётки (диаметр отверстий сопел) и отметку ввода шнекового забрасывателя.</w:t>
      </w:r>
    </w:p>
    <w:p>
      <w:r>
        <w:rPr>
          <w:b/>
          <w:sz w:val="21"/>
        </w:rPr>
        <w:t xml:space="preserve">11. [ВАЖНО] Хлор в электролите 25–30 г/м³ — на пределе стойкости матриц 316L (кампания 6 лет под риском)</w:t>
      </w:r>
    </w:p>
    <w:p>
      <w:r>
        <w:rPr>
          <w:sz w:val="20"/>
        </w:rPr>
        <w:t xml:space="preserve">Практика EW: питтинг нержавеющих основ ускоряется при Cl⁻ выше ~25–30 мг/л. ИД задаёт фон 25–30 г/м³ и кампанию матриц 6 лет одновременно — гарантировать обе цифры сразу рискованно. Консервативно: кампания 6 лет гарантируется при Cl⁻ ≤25 г/м³ и регламенте промывки кромок; при 30 г/м³ — кампания «по фактическому состоянию». Зафиксировать в гарантийной рамке.</w:t>
      </w:r>
    </w:p>
    <w:p/>
    <w:p>
      <w:pPr>
        <w:pStyle w:val="Heading1"/>
      </w:pPr>
      <w:r>
        <w:rPr>
          <w:b/>
          <w:sz w:val="28"/>
        </w:rPr>
        <w:t xml:space="preserve">2. Гарантийная рамка — консервативные значения для ТКП и договора</w:t>
      </w:r>
    </w:p>
    <w:p>
      <w:r>
        <w:rPr>
          <w:i/>
          <w:sz w:val="19"/>
        </w:rPr>
        <w:t xml:space="preserve">Правило: гарантируем границу с запасом к расчёту; условия — на сырьё и данные изготовителей; расчётные значения — справочные.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3300"/>
        <w:gridCol w:w="3338"/>
      </w:tblGrid>
      <w:tr>
        <w:tc>
          <w:tcPr>
            <w:tcW w:w="30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9"/>
              </w:rPr>
              <w:t xml:space="preserve">Расчёт / ИД</w:t>
            </w:r>
          </w:p>
        </w:tc>
        <w:tc>
          <w:tcPr>
            <w:tcW w:w="3338" w:type="dxa"/>
            <w:shd w:val="clear" w:fill="EFEFEF"/>
          </w:tcPr>
          <w:p>
            <w:r>
              <w:rPr>
                <w:b/>
                <w:sz w:val="19"/>
              </w:rPr>
              <w:t xml:space="preserve">Гарантия (рекомендация)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Производительность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мощность 75 000 т/год (280 А/м² → 76,7); сырьё ИД → 69,25 тыс. т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мощность оборудования 75 000 т/год; годовой выпуск при сырье ИД табл. 22 — 69 300 т ±1 %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Качество катодов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М00к, примеси с запасом (S 0,0006 %, Pb 0,00004 %)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М00к по ГОСТ 859-2014 ПРИ порогах примесей богатого раствора по ИД табл. 1.1/5.8 (условная гарантия на сырьё)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Удельный расход электроэнергии ЭЭ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1 942 кВт·ч/т (расчёт при η=89 %)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≤2 050 кВт·ч/т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Выход по току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≈89 % (из ИД табл. 3.1/4.2, задан неявно)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≥88 % (проектное значение по ИД ≈89 %; повышение до ≥90 % — только после письменного подтверждения η Гипроникелем)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Сера в огарке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0,051 % (расчёт ИД)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≤0,10 %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Запылённость газа на СКЦ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0,1 г/нм³ при η_ЭФ 99,69 %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≤0,1 г/нм³ при гарантии изготовителя ЭФ ≥96 %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SO₂ на СКЦ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15,59 / 9,49 % (осн./вспом.)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диапазон 9–16 % по режимам; стабильность ±1,5 % абс. за 15 мин — контуром АСУ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Пар КУ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4,10 / 6,48 т/ч (энтальпийно сходится)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справочно 4,1/6,5 т/ч; жёсткая гарантия ≥3,6 т/ч (осн.) — только после подтверждения теплового расчёта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Мазут М-100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468 / 2 844 т/год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≤520 (осн.) / ≤3 100 (вспом.) т/год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Кислород технический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520,9 нм³/т (норма ИД)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≤560 нм³/т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Температуры газового тракта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точка росы 221/209 °C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газ на СКЦ 387 ±15 °C; стенки тракта ≥240 °C; продувка при остановках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Медный купорос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25,7 % Cu (выше стехиометрии пентагидрата)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Cu ≥25,0 % (сухой), влажность ≤6 %, крупность ≤2 мм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Кампания матриц / анодов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6 лет / 5–7 лет при Cl 25–30 г/м³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матрицы 6 лет при Cl⁻ ≤25 г/м³ и регламенте промывки; аноды 5 лет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КИО ванн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98 % (чистка ≤1 раз/год)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≥97 %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Электропотребление лота 1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7,6 млн кВт·ч/год с досчётом (ИД: 4,95)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закладывать в ТЭП 7,6 млн кВт·ч/год; в ТУ — среднюю 1,0 МВт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АСУТП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1,7–2,4 тыс. сигналов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запас модулей в/в ≥30 %, резерв контроллеров ≥20 %</w:t>
            </w:r>
          </w:p>
        </w:tc>
      </w:tr>
    </w:tbl>
    <w:p/>
    <w:p>
      <w:pPr>
        <w:pStyle w:val="Heading1"/>
      </w:pPr>
      <w:r>
        <w:rPr>
          <w:b/>
          <w:sz w:val="28"/>
        </w:rPr>
        <w:t xml:space="preserve">3. Неопределённость: Монте-Карло 20 000 прогонов</w:t>
      </w:r>
    </w:p>
    <w:p>
      <w:r>
        <w:rPr>
          <w:i/>
          <w:sz w:val="19"/>
        </w:rPr>
        <w:t xml:space="preserve">Доверительные интервалы P10–P90 и рейтинг чувствительности (Спирмен) по 20 000 прогонам модели. Интервалы определяются входными данными, а не вычислительной мощностью: весь прогон занимает доли секунды на одном ядре. Колонка «что уточнять» — какая единица данных схлопывает интервал.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700"/>
        <w:gridCol w:w="1200"/>
        <w:gridCol w:w="1200"/>
        <w:gridCol w:w="1200"/>
        <w:gridCol w:w="1100"/>
        <w:gridCol w:w="2238"/>
      </w:tblGrid>
      <w:tr>
        <w:tc>
          <w:tcPr>
            <w:tcW w:w="2700" w:type="dxa"/>
            <w:shd w:val="clear" w:fill="EFEFEF"/>
          </w:tcPr>
          <w:p>
            <w:r>
              <w:rPr>
                <w:b/>
                <w:sz w:val="19"/>
              </w:rPr>
              <w:t xml:space="preserve">Показатель</w:t>
            </w:r>
          </w:p>
        </w:tc>
        <w:tc>
          <w:tcPr>
            <w:tcW w:w="1200" w:type="dxa"/>
            <w:shd w:val="clear" w:fill="EFEFEF"/>
          </w:tcPr>
          <w:p>
            <w:r>
              <w:rPr>
                <w:b/>
                <w:sz w:val="19"/>
              </w:rPr>
              <w:t xml:space="preserve">P10</w:t>
            </w:r>
          </w:p>
        </w:tc>
        <w:tc>
          <w:tcPr>
            <w:tcW w:w="1200" w:type="dxa"/>
            <w:shd w:val="clear" w:fill="EFEFEF"/>
          </w:tcPr>
          <w:p>
            <w:r>
              <w:rPr>
                <w:b/>
                <w:sz w:val="19"/>
              </w:rPr>
              <w:t xml:space="preserve">P50</w:t>
            </w:r>
          </w:p>
        </w:tc>
        <w:tc>
          <w:tcPr>
            <w:tcW w:w="1200" w:type="dxa"/>
            <w:shd w:val="clear" w:fill="EFEFEF"/>
          </w:tcPr>
          <w:p>
            <w:r>
              <w:rPr>
                <w:b/>
                <w:sz w:val="19"/>
              </w:rPr>
              <w:t xml:space="preserve">P90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Размах</w:t>
            </w:r>
          </w:p>
        </w:tc>
        <w:tc>
          <w:tcPr>
            <w:tcW w:w="2238" w:type="dxa"/>
            <w:shd w:val="clear" w:fill="EFEFEF"/>
          </w:tcPr>
          <w:p>
            <w:r>
              <w:rPr>
                <w:b/>
                <w:sz w:val="19"/>
              </w:rPr>
              <w:t xml:space="preserve">Что уточнять</w:t>
            </w:r>
          </w:p>
        </w:tc>
      </w:tr>
      <w:tr>
        <w:tc>
          <w:tcPr>
            <w:tcW w:w="2700" w:type="dxa"/>
          </w:tcPr>
          <w:p>
            <w:r>
              <w:rPr>
                <w:b/>
                <w:sz w:val="19"/>
              </w:rPr>
              <w:t xml:space="preserve">Катодная медь, т/год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68 717</w:t>
            </w:r>
          </w:p>
        </w:tc>
        <w:tc>
          <w:tcPr>
            <w:tcW w:w="1200" w:type="dxa"/>
          </w:tcPr>
          <w:p>
            <w:r>
              <w:rPr>
                <w:b/>
                <w:sz w:val="19"/>
              </w:rPr>
              <w:t xml:space="preserve">70 178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71 669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4,2 %</w:t>
            </w:r>
          </w:p>
        </w:tc>
        <w:tc>
          <w:tcPr>
            <w:tcW w:w="2238" w:type="dxa"/>
          </w:tcPr>
          <w:p>
            <w:r>
              <w:rPr>
                <w:sz w:val="18"/>
              </w:rPr>
              <w:t xml:space="preserve">паспорта/планы поставок сырья</w:t>
            </w:r>
          </w:p>
        </w:tc>
      </w:tr>
      <w:tr>
        <w:tc>
          <w:tcPr>
            <w:tcW w:w="2700" w:type="dxa"/>
          </w:tcPr>
          <w:p>
            <w:r>
              <w:rPr>
                <w:b/>
                <w:sz w:val="19"/>
              </w:rPr>
              <w:t xml:space="preserve">Пар КУ, т/ч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4,13</w:t>
            </w:r>
          </w:p>
        </w:tc>
        <w:tc>
          <w:tcPr>
            <w:tcW w:w="1200" w:type="dxa"/>
          </w:tcPr>
          <w:p>
            <w:r>
              <w:rPr>
                <w:b/>
                <w:sz w:val="19"/>
              </w:rPr>
              <w:t xml:space="preserve">4,55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5,00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19,2 %</w:t>
            </w:r>
          </w:p>
        </w:tc>
        <w:tc>
          <w:tcPr>
            <w:tcW w:w="2238" w:type="dxa"/>
          </w:tcPr>
          <w:p>
            <w:r>
              <w:rPr>
                <w:sz w:val="18"/>
              </w:rPr>
              <w:t xml:space="preserve">расчёт теплового эффекта Гипроникеля (п.3 раздела 1)</w:t>
            </w:r>
          </w:p>
        </w:tc>
      </w:tr>
      <w:tr>
        <w:tc>
          <w:tcPr>
            <w:tcW w:w="2700" w:type="dxa"/>
          </w:tcPr>
          <w:p>
            <w:r>
              <w:rPr>
                <w:b/>
                <w:sz w:val="19"/>
              </w:rPr>
              <w:t xml:space="preserve">SO₂ на СКЦ (номинал), %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14,7</w:t>
            </w:r>
          </w:p>
        </w:tc>
        <w:tc>
          <w:tcPr>
            <w:tcW w:w="1200" w:type="dxa"/>
          </w:tcPr>
          <w:p>
            <w:r>
              <w:rPr>
                <w:b/>
                <w:sz w:val="19"/>
              </w:rPr>
              <w:t xml:space="preserve">15,6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16,6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11,8 %</w:t>
            </w:r>
          </w:p>
        </w:tc>
        <w:tc>
          <w:tcPr>
            <w:tcW w:w="2238" w:type="dxa"/>
          </w:tcPr>
          <w:p>
            <w:r>
              <w:rPr>
                <w:sz w:val="18"/>
              </w:rPr>
              <w:t xml:space="preserve">стабильность шихтовки и подсосов</w:t>
            </w:r>
          </w:p>
        </w:tc>
      </w:tr>
      <w:tr>
        <w:tc>
          <w:tcPr>
            <w:tcW w:w="2700" w:type="dxa"/>
          </w:tcPr>
          <w:p>
            <w:r>
              <w:rPr>
                <w:b/>
                <w:sz w:val="19"/>
              </w:rPr>
              <w:t xml:space="preserve">Электрика лота 1, млн кВт·ч/год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7,05</w:t>
            </w:r>
          </w:p>
        </w:tc>
        <w:tc>
          <w:tcPr>
            <w:tcW w:w="1200" w:type="dxa"/>
          </w:tcPr>
          <w:p>
            <w:r>
              <w:rPr>
                <w:b/>
                <w:sz w:val="19"/>
              </w:rPr>
              <w:t xml:space="preserve">7,79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8,55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19,2 %</w:t>
            </w:r>
          </w:p>
        </w:tc>
        <w:tc>
          <w:tcPr>
            <w:tcW w:w="2238" w:type="dxa"/>
          </w:tcPr>
          <w:p>
            <w:r>
              <w:rPr>
                <w:sz w:val="18"/>
              </w:rPr>
              <w:t xml:space="preserve">опросные листы воздуходувки/вакуума (п.4 раздела 1)</w:t>
            </w:r>
          </w:p>
        </w:tc>
      </w:tr>
    </w:tbl>
    <w:p/>
    <w:p>
      <w:pPr>
        <w:pStyle w:val="Heading1"/>
      </w:pPr>
      <w:r>
        <w:rPr>
          <w:b/>
          <w:sz w:val="28"/>
        </w:rPr>
        <w:t xml:space="preserve">4. Расчётные блоки и сверки</w:t>
      </w:r>
    </w:p>
    <w:p>
      <w:pPr>
        <w:pStyle w:val="Heading2"/>
      </w:pPr>
      <w:r>
        <w:rPr>
          <w:b/>
          <w:sz w:val="26"/>
        </w:rPr>
        <w:t xml:space="preserve">L1-MET · Баланс металлов: приход из составов сырья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Концентрат ОРФ на шихту: 73 492 т/год; Cu 67,10 / Ni 4,20 / Co 0,22 / Fe 5,24 / S 23,24 % [ИД ч.1 табл. 22 стр.1, табл. 23 п.62] · Кек NNH: 24 218,5 т/год; Cu 55,00 / Ni 3,00 / Co 0,10 / Fe 3,00 / S 20,00 % [ИД ч.1 табл. 22 стр.2, табл. 23 п.71] · Цементная медь: 9 181,9 т/год; Cu 94,00 / Ni 2,50 / Co 0,06 / Fe 0,10 / S 0,14 % [ИД ч.1 табл. 22 стр.3, табл. 23 п.80]</w:t>
      </w:r>
    </w:p>
    <w:p>
      <w:r>
        <w:rPr>
          <w:b/>
          <w:sz w:val="20"/>
        </w:rPr>
        <w:t xml:space="preserve">Масса каждого элемента:  </w:t>
      </w:r>
      <w:r>
        <w:rPr>
          <w:sz w:val="20"/>
        </w:rPr>
        <w:t xml:space="preserve">m_эл = Σ (масса компонента × содержание, %)</w:t>
      </w:r>
    </w:p>
    <w:p>
      <w:r>
        <w:rPr>
          <w:b/>
          <w:sz w:val="20"/>
        </w:rPr>
        <w:t xml:space="preserve">Сухая шихта:  </w:t>
      </w:r>
      <w:r>
        <w:rPr>
          <w:sz w:val="20"/>
        </w:rPr>
        <w:t xml:space="preserve">73 492 + 24 218,5 + 9 181,9 = 106 892,4 т/год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Медь в шихте,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71 264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71 264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0,0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Никель в шихте,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4 043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4 043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-0,01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Кобальт в шихте,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191,4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191,4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+0,01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Железо в шихте,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4 587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4 587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-0,01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Сера в шихте,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21 936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21 936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0,0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Сухая шихта,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106 892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106 892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0,0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Составы и массы трёх компонентов сырья взаимно согласованы с итогами таблицы 22 ИД: невязка по всем пяти элементам ≤0,01 %. Приходную часть баланса подтверждаем.</w:t>
      </w:r>
    </w:p>
    <w:p/>
    <w:p>
      <w:pPr>
        <w:pStyle w:val="Heading2"/>
      </w:pPr>
      <w:r>
        <w:rPr>
          <w:b/>
          <w:sz w:val="26"/>
        </w:rPr>
        <w:t xml:space="preserve">L1-S · Баланс серы: распределение огарок / пыль / газ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Сера в огарке: 81 896 т × 0,051 % [ИД табл. 22 стр.4, табл. 23 п.243] · Сера в пылях: КУ 2,15 % · циклон 2,27 % · ЭФ и унос 3,44 % [ИД табл. 22 стр.5–9] · Потери 502 т/год: принята средняя сера шихты 20,52 % [ИД табл. 22 стр.12; допущение КВАНТ]</w:t>
      </w:r>
    </w:p>
    <w:p>
      <w:r>
        <w:rPr>
          <w:b/>
          <w:sz w:val="20"/>
        </w:rPr>
        <w:t xml:space="preserve">Сера в огарок:  </w:t>
      </w:r>
      <w:r>
        <w:rPr>
          <w:sz w:val="20"/>
        </w:rPr>
        <w:t xml:space="preserve">81 896 × 0,00051 = 41,8 т</w:t>
      </w:r>
    </w:p>
    <w:p>
      <w:r>
        <w:rPr>
          <w:b/>
          <w:sz w:val="20"/>
        </w:rPr>
        <w:t xml:space="preserve">Сера в пыли:  </w:t>
      </w:r>
      <w:r>
        <w:rPr>
          <w:sz w:val="20"/>
        </w:rPr>
        <w:t xml:space="preserve">9 081×2,15 % + 8 165×2,27 % + 2 930×3,44 % = 481,4 т</w:t>
      </w:r>
    </w:p>
    <w:p>
      <w:r>
        <w:rPr>
          <w:b/>
          <w:sz w:val="20"/>
        </w:rPr>
        <w:t xml:space="preserve">Сера в газ (остатком):  </w:t>
      </w:r>
      <w:r>
        <w:rPr>
          <w:sz w:val="20"/>
        </w:rPr>
        <w:t xml:space="preserve">21 936,1 − 41,8 − 481,4 − 103,0 = 21 309,9 т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Сера в огарке,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41,8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41,6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+0,4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Сера в пылях,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481,4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484,0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-0,54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Сера в газ,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21 310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21 307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+0,01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Извлечение серы в газ, %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97,1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97,1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+0,02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Баланс серы замыкается остатком в газ с невязкой 0,01 % — производительность СКЦ (21,3 тыс. т S/год) подтверждена независимо.</w:t>
      </w:r>
    </w:p>
    <w:p/>
    <w:p>
      <w:pPr>
        <w:pStyle w:val="Heading2"/>
      </w:pPr>
      <w:r>
        <w:rPr>
          <w:b/>
          <w:sz w:val="26"/>
        </w:rPr>
        <w:t xml:space="preserve">L1-GAS · Газовый тракт: объём SO₂ и коэффициент максимума 1,15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Сера в газ: 21 309,9 т/год (наш баланс L1-S) [расчёт КВАНТ] · Фонд времени печи: 7 920 ч/год (330 сут) [ИД ч.1 Прил. В] · Внутрипечной газ (макс.): 12 129 нм³/ч, SO₂ 17,83 % [ИД табл. 23 (баланс обжига)]</w:t>
      </w:r>
    </w:p>
    <w:p>
      <w:r>
        <w:rPr>
          <w:b/>
          <w:sz w:val="20"/>
        </w:rPr>
        <w:t xml:space="preserve">SO₂ номинал:  </w:t>
      </w:r>
      <w:r>
        <w:rPr>
          <w:sz w:val="20"/>
        </w:rPr>
        <w:t xml:space="preserve">21 309,9·10³ / 32,07 × 22,414 / 7 920 = 1 880,5 нм³/ч</w:t>
      </w:r>
    </w:p>
    <w:p>
      <w:r>
        <w:rPr>
          <w:b/>
          <w:sz w:val="20"/>
        </w:rPr>
        <w:t xml:space="preserve">SO₂ максимум (K = 1,15):  </w:t>
      </w:r>
      <w:r>
        <w:rPr>
          <w:sz w:val="20"/>
        </w:rPr>
        <w:t xml:space="preserve">1 880,5 × 1,15 = 2 162,6 нм³/ч</w:t>
      </w:r>
    </w:p>
    <w:p>
      <w:r>
        <w:rPr>
          <w:b/>
          <w:sz w:val="20"/>
        </w:rPr>
        <w:t xml:space="preserve">SO₂ по ИД из состава газа:  </w:t>
      </w:r>
      <w:r>
        <w:rPr>
          <w:sz w:val="20"/>
        </w:rPr>
        <w:t xml:space="preserve">12 129 × 17,83 % = 2 162,6 нм³/ч</w:t>
      </w:r>
    </w:p>
    <w:p>
      <w:r>
        <w:rPr>
          <w:b/>
          <w:sz w:val="20"/>
        </w:rPr>
        <w:t xml:space="preserve">SO₂ на СКЦ = SO₂ печи − конверсия в SO₃:  </w:t>
      </w:r>
      <w:r>
        <w:rPr>
          <w:sz w:val="20"/>
        </w:rPr>
        <w:t xml:space="preserve">2 162,6 − 13 262×0,718 % = 2 067,4 нм³/ч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SO₂ в печном газе (макс.), нм³/ч — сходится ТОЛЬКО в логике «часовые потоки = номинал × 1,15»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2 163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2 163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-0,0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SO₂ на СКЦ с учётом конверсии в SO₃, нм³/ч — разница SO₂ печи и СКЦ ровно равна объёму SO₃ — конверсия в тракте ≈4,4 % самосогласована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2 067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2 067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-0,0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Объём SO₂ по нашему балансу совпадает с ИД (невязка 0,05 %) при условии, что ВСЕ часовые газовые потоки таблицы 23 — максимальные (K = 1,15). Это подтверждает методическое примечание черновика БИ и должно быть зафиксировано для выбора газоходов, дымососов и согласования с СКЦ.</w:t>
      </w:r>
    </w:p>
    <w:p/>
    <w:p>
      <w:pPr>
        <w:pStyle w:val="Heading2"/>
      </w:pPr>
      <w:r>
        <w:rPr>
          <w:b/>
          <w:sz w:val="26"/>
        </w:rPr>
        <w:t xml:space="preserve">L1-O2 · Кислородный баланс печи КС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Кислород технический 96 %: 37,121 млн нм³/год [ИД табл. 26] · Технологический воздух: 52,708 млн нм³/год (O₂ 20,95 %) [ИД табл. 26] · Твёрдые продукты: огарок 81 896 + пыль 20 175 + потери 502 т [ИД табл. 22] · Газ на СКЦ: 13 262 нм³/ч (макс.), O₂ 16,33 % [ИД табл. 23 п.400–401]</w:t>
      </w:r>
    </w:p>
    <w:p>
      <w:r>
        <w:rPr>
          <w:b/>
          <w:sz w:val="20"/>
        </w:rPr>
        <w:t xml:space="preserve">O₂ на SO₂ (1:1 по молям):  </w:t>
      </w:r>
      <w:r>
        <w:rPr>
          <w:sz w:val="20"/>
        </w:rPr>
        <w:t xml:space="preserve">21 309,9·10³/32,07 × 22,414 = 14,89 млн нм³</w:t>
      </w:r>
    </w:p>
    <w:p>
      <w:r>
        <w:rPr>
          <w:b/>
          <w:sz w:val="20"/>
        </w:rPr>
        <w:t xml:space="preserve">O₂, связанный в твёрдых (прирост массы):  </w:t>
      </w:r>
      <w:r>
        <w:rPr>
          <w:sz w:val="20"/>
        </w:rPr>
        <w:t xml:space="preserve">(102 573,0 − 85 580,7) = 16 992,3 т = 11,90 млн нм³</w:t>
      </w:r>
    </w:p>
    <w:p>
      <w:r>
        <w:rPr>
          <w:b/>
          <w:sz w:val="20"/>
        </w:rPr>
        <w:t xml:space="preserve">Потребность:  </w:t>
      </w:r>
      <w:r>
        <w:rPr>
          <w:sz w:val="20"/>
        </w:rPr>
        <w:t xml:space="preserve">14,89 + 11,90 = 26,80 млн нм³</w:t>
      </w:r>
    </w:p>
    <w:p>
      <w:r>
        <w:rPr>
          <w:b/>
          <w:sz w:val="20"/>
        </w:rPr>
        <w:t xml:space="preserve">Подача:  </w:t>
      </w:r>
      <w:r>
        <w:rPr>
          <w:sz w:val="20"/>
        </w:rPr>
        <w:t xml:space="preserve">37,121×0,96 + 52,708×0,2095 = 46,68 млн нм³</w:t>
      </w:r>
    </w:p>
    <w:p>
      <w:r>
        <w:rPr>
          <w:b/>
          <w:sz w:val="20"/>
        </w:rPr>
        <w:t xml:space="preserve">Избыток (в газ):  </w:t>
      </w:r>
      <w:r>
        <w:rPr>
          <w:sz w:val="20"/>
        </w:rPr>
        <w:t xml:space="preserve">46,68 − 26,80 = 19,88 млн нм³</w:t>
      </w:r>
    </w:p>
    <w:p>
      <w:r>
        <w:rPr>
          <w:b/>
          <w:sz w:val="20"/>
        </w:rPr>
        <w:t xml:space="preserve">O₂ в газе на СКЦ по ИД (номинал года):  </w:t>
      </w:r>
      <w:r>
        <w:rPr>
          <w:sz w:val="20"/>
        </w:rPr>
        <w:t xml:space="preserve">91,3 млн нм³ × 16,33 % = 14,91 млн нм³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Прирост массы твёрдых (усвоенный O₂), %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15,9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16,0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-0,65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Подача O₂ vs сведение баланса (SO₂ + твёрдые + газ), млн нм³/год — норма подачи превышает балансовую потребность ~ на 16 %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46,7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40,1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+16,47</w:t>
            </w:r>
          </w:p>
        </w:tc>
        <w:tc>
          <w:tcPr>
            <w:tcW w:w="1538" w:type="dxa"/>
          </w:tcPr>
          <w:p>
            <w:r>
              <w:rPr>
                <w:b/>
                <w:color w:val="B22222"/>
                <w:sz w:val="19"/>
              </w:rPr>
              <w:t xml:space="preserve">ВОПРОС</w:t>
            </w:r>
          </w:p>
        </w:tc>
      </w:tr>
    </w:tbl>
    <w:p>
      <w:r>
        <w:rPr>
          <w:b/>
        </w:rPr>
        <w:t xml:space="preserve">Вывод: </w:t>
      </w:r>
      <w:r>
        <w:t xml:space="preserve">Связанный в твёрдых кислород (15,9 % прироста массы) подтверждает примечание ИД. Однако сведение всего кислородного баланса даёт: потребность (SO₂ + оксиды + кислород в газе на СКЦ) ≈ 40,1 млн нм³/год против подачи 46,7 млн нм³ по нормам табл. 26 — запас ~16 %. Вероятно, табл. 26 — норма расхода с запасом, а не баланс.</w:t>
      </w:r>
    </w:p>
    <w:p/>
    <w:p>
      <w:pPr>
        <w:pStyle w:val="Heading2"/>
      </w:pPr>
      <w:r>
        <w:rPr>
          <w:b/>
          <w:sz w:val="26"/>
        </w:rPr>
        <w:t xml:space="preserve">L1-HEAT · Тепловой эффект обжига: независимая оценка по энтальпиям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Сера сульфидная концентрата: 17 079,5 т (халькозин-борнит, модель Cu₂S) [ИД табл. 23 п.62; вещественный состав] · Сера сульфидная кека NNH: 3 904,0 т (ковеллин CuS); сульфатная 3,88 % не горит [ИД табл. 23 п.71] · Металлическая медь цементной меди: 7 125,2 т (77,6 %) → CuO [ИД табл. 23 п.80] · ΔH реакций: Cu₂S+2O₂→2CuO+SO₂: −531,9; CuS+1,5O₂→CuO+SO₂: −401,0; Cu+½O₂→CuO: −157,3 кДж/моль [стандартные энтальпии образования (справочные)]</w:t>
      </w:r>
    </w:p>
    <w:p>
      <w:r>
        <w:rPr>
          <w:b/>
          <w:sz w:val="20"/>
        </w:rPr>
        <w:t xml:space="preserve">Тепло сульфидов:  </w:t>
      </w:r>
      <w:r>
        <w:rPr>
          <w:sz w:val="20"/>
        </w:rPr>
        <w:t xml:space="preserve">332 089,8 ГДж/год</w:t>
      </w:r>
    </w:p>
    <w:p>
      <w:r>
        <w:rPr>
          <w:b/>
          <w:sz w:val="20"/>
        </w:rPr>
        <w:t xml:space="preserve">Тепло окисления металлической меди:  </w:t>
      </w:r>
      <w:r>
        <w:rPr>
          <w:sz w:val="20"/>
        </w:rPr>
        <w:t xml:space="preserve">17 637,4 ГДж/год</w:t>
      </w:r>
    </w:p>
    <w:p>
      <w:r>
        <w:rPr>
          <w:b/>
          <w:sz w:val="20"/>
        </w:rPr>
        <w:t xml:space="preserve">Удельный эффект на влажную шихту:  </w:t>
      </w:r>
      <w:r>
        <w:rPr>
          <w:sz w:val="20"/>
        </w:rPr>
        <w:t xml:space="preserve">349 727,2 / 122 429,0 = 2,86 ГДж/т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Удельный тепловой эффект, ГДж/т шихты — наша оценка по чистым фазам выше значения ИД на ~15–20 %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2,86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2,38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+20,11</w:t>
            </w:r>
          </w:p>
        </w:tc>
        <w:tc>
          <w:tcPr>
            <w:tcW w:w="1538" w:type="dxa"/>
          </w:tcPr>
          <w:p>
            <w:r>
              <w:rPr>
                <w:b/>
                <w:color w:val="B22222"/>
                <w:sz w:val="19"/>
              </w:rPr>
              <w:t xml:space="preserve">ВОПРОС</w:t>
            </w:r>
          </w:p>
        </w:tc>
      </w:tr>
    </w:tbl>
    <w:p>
      <w:r>
        <w:rPr>
          <w:b/>
        </w:rPr>
        <w:t xml:space="preserve">Вывод: </w:t>
      </w:r>
      <w:r>
        <w:t xml:space="preserve">Наша верхняя оценка (чистые фазы, без эндотермики диссоциации сульфатов кека и огарка на запуск) даёт 2,86 ГДж/т против 2,378 ГДж/т в ИД. Разница объяснима вещественным составом (борнит/дигенит вместо чистого Cu₂S, частично окисленное железо), но именно тепловой эффект задаёт автогенность печи и паропроизводительность КУ — запросить расчёт Гипроникеля.</w:t>
      </w:r>
    </w:p>
    <w:p/>
    <w:p>
      <w:pPr>
        <w:pStyle w:val="Heading2"/>
      </w:pPr>
      <w:r>
        <w:rPr>
          <w:b/>
          <w:sz w:val="26"/>
        </w:rPr>
        <w:t xml:space="preserve">L1-STEAM · Пар котла-утилизатора: энтальпийная сверка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Тепловосприятие КУ (осн.): 11,30 ГДж/ч (газ 882,8 → 400 °C) [ИД табл. 23 п.278–281] · Пар 1,9 МПа, 375 °C: h ≈ 3 190 кДж/кг; питательная вода 105 °C: h ≈ 440 кДж/кг [таблицы водяного пара]</w:t>
      </w:r>
    </w:p>
    <w:p>
      <w:r>
        <w:rPr>
          <w:b/>
          <w:sz w:val="20"/>
        </w:rPr>
        <w:t xml:space="preserve">Пар из тепловосприятия:  </w:t>
      </w:r>
      <w:r>
        <w:rPr>
          <w:sz w:val="20"/>
        </w:rPr>
        <w:t xml:space="preserve">11 300 ГДж/ч ÷ (3 190 − 440) = 4,109 т/ч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Паропроизводительность (осн.), т/ч — невязка покрывает продувку 0,205 м³/ч и потери изоляции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4,11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4,10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+0,17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Энтальпийный пересчёт подтверждает 4,1 т/ч перегретого пара в основном варианте; выбор котла по вспомогательному (6,5 т/ч, до 7 т/ч) корректен.</w:t>
      </w:r>
    </w:p>
    <w:p/>
    <w:p>
      <w:pPr>
        <w:pStyle w:val="Heading2"/>
      </w:pPr>
      <w:r>
        <w:rPr>
          <w:b/>
          <w:sz w:val="26"/>
        </w:rPr>
        <w:t xml:space="preserve">L1-EL · Электрика лота 1: досчёт потребителей, не нормированных в ИД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Учтено в ИД табл. 26: ≈4,95 млн кВт·ч/год (средняя ≈625 кВт: 0,4 кВ 192 + дымосос 400 + ЭФ 32) [ИД табл. 26; сводка черновика БИ] · Воздуходувка (НЕ нормирована): 52,708 / 99,887 млн нм³/год, 0,09–0,12 МПа изб. [ИД табл. 26 (объёмы дутья); прямое указание ИД «досчитываются на стадии БИ»] · Вакуум-насосы и аспирация (НЕ нормированы): фильтрация 2×20 м²; аспирация 25–40 тыс. м³/ч [оценка КВАНТ по аналогам (Class 5)]</w:t>
      </w:r>
    </w:p>
    <w:p>
      <w:r>
        <w:rPr>
          <w:b/>
          <w:sz w:val="20"/>
        </w:rPr>
        <w:t xml:space="preserve">Воздуходувка, адиабата+КПД (осн.):  </w:t>
      </w:r>
      <w:r>
        <w:rPr>
          <w:sz w:val="20"/>
        </w:rPr>
        <w:t xml:space="preserve">π=2,04; P = 216 кВт вал (вспом. 409 кВт)</w:t>
      </w:r>
    </w:p>
    <w:p>
      <w:r>
        <w:rPr>
          <w:b/>
          <w:sz w:val="20"/>
        </w:rPr>
        <w:t xml:space="preserve">Вакуум-станция:  </w:t>
      </w:r>
      <w:r>
        <w:rPr>
          <w:sz w:val="20"/>
        </w:rPr>
        <w:t xml:space="preserve">60–90 кВт</w:t>
      </w:r>
    </w:p>
    <w:p>
      <w:r>
        <w:rPr>
          <w:b/>
          <w:sz w:val="20"/>
        </w:rPr>
        <w:t xml:space="preserve">Аспирация:  </w:t>
      </w:r>
      <w:r>
        <w:rPr>
          <w:sz w:val="20"/>
        </w:rPr>
        <w:t xml:space="preserve">45–75 кВт</w:t>
      </w:r>
    </w:p>
    <w:p>
      <w:r>
        <w:rPr>
          <w:b/>
          <w:sz w:val="20"/>
        </w:rPr>
        <w:t xml:space="preserve">Итого средняя нагрузка лота 1:  </w:t>
      </w:r>
      <w:r>
        <w:rPr>
          <w:sz w:val="20"/>
        </w:rPr>
        <w:t xml:space="preserve">625 + 351 ≈ 976 кВт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Дымосос: потребляемая (вспом., Δp 10 кПа) vs нормированная, кВт — ИД нормирует по УСТАНОВЛЕННОЙ мощности ДН-15БНЖ; наша оценка потребляемой 150–250 кВт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177,1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400,0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-55,74</w:t>
            </w:r>
          </w:p>
        </w:tc>
        <w:tc>
          <w:tcPr>
            <w:tcW w:w="1538" w:type="dxa"/>
          </w:tcPr>
          <w:p>
            <w:r>
              <w:rPr>
                <w:b/>
                <w:color w:val="B22222"/>
                <w:sz w:val="19"/>
              </w:rPr>
              <w:t xml:space="preserve">ВОПРОС</w:t>
            </w:r>
          </w:p>
        </w:tc>
      </w:tr>
    </w:tbl>
    <w:p>
      <w:r>
        <w:rPr>
          <w:b/>
        </w:rPr>
        <w:t xml:space="preserve">Вывод: </w:t>
      </w:r>
      <w:r>
        <w:t xml:space="preserve">Неучтённые в табл. 26 потребители (воздуходувка ≈216 кВт, вакуум, аспирация) добавляют ≈351 кВт средней нагрузки — годовое электропотребление лота 1 растёт с 4,95 до ≈7,6 млн кВт·ч (+54 %). Для ТУ и ТЭП это надо заложить сразу; установленная мощность лота 1 с резервом — ориентировочно 1,6–1,9 МВт.</w:t>
      </w:r>
    </w:p>
    <w:p/>
    <w:p>
      <w:pPr>
        <w:pStyle w:val="Heading2"/>
      </w:pPr>
      <w:r>
        <w:rPr>
          <w:b/>
          <w:sz w:val="26"/>
        </w:rPr>
        <w:t xml:space="preserve">L2-CU · Медь купоросного передела и стехиометрия пентагидрата (Лот №2)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Фильтрат на кристаллизацию: 42,2 тыс. м³/год, Cu 102,9 кг/м³ [ТЗ п. 4.1] · Медный купорос: 14 139 т/год, Cu 25,7 % (сухой) [ТЗ п. 4.2; ИД ч.2 табл. 3.1] · Маточник на смешанный купорос: 11,81 тыс. м³/год, Cu 60 кг/м³ [ТЗ п. 4.1]</w:t>
      </w:r>
    </w:p>
    <w:p>
      <w:r>
        <w:rPr>
          <w:b/>
          <w:sz w:val="20"/>
        </w:rPr>
        <w:t xml:space="preserve">Cu входа:  </w:t>
      </w:r>
      <w:r>
        <w:rPr>
          <w:sz w:val="20"/>
        </w:rPr>
        <w:t xml:space="preserve">42 200 × 102,9 = 4 342,4 т/год</w:t>
      </w:r>
    </w:p>
    <w:p>
      <w:r>
        <w:rPr>
          <w:b/>
          <w:sz w:val="20"/>
        </w:rPr>
        <w:t xml:space="preserve">Cu в купорос:  </w:t>
      </w:r>
      <w:r>
        <w:rPr>
          <w:sz w:val="20"/>
        </w:rPr>
        <w:t xml:space="preserve">14 139 × 25,7 % = 3 633,7 т/год</w:t>
      </w:r>
    </w:p>
    <w:p>
      <w:r>
        <w:rPr>
          <w:b/>
          <w:sz w:val="20"/>
        </w:rPr>
        <w:t xml:space="preserve">Cu в маточник-1:  </w:t>
      </w:r>
      <w:r>
        <w:rPr>
          <w:sz w:val="20"/>
        </w:rPr>
        <w:t xml:space="preserve">11 810 × 60 = 708,6 т/год</w:t>
      </w:r>
    </w:p>
    <w:p>
      <w:r>
        <w:rPr>
          <w:b/>
          <w:sz w:val="20"/>
        </w:rPr>
        <w:t xml:space="preserve">Теоретический Cu в CuSO₄·5H₂O:  </w:t>
      </w:r>
      <w:r>
        <w:rPr>
          <w:sz w:val="20"/>
        </w:rPr>
        <w:t xml:space="preserve">63,546 / 249,69 = 25,45 %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Баланс меди: вход − купорос − маточник, т/год — невязка 0,1 % от входа — сходится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0,057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0,000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0,0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Cu в купоросе, % (заявлено vs теория пентагидрата) — 25,7 % ВЫШЕ теоретического максимума чистого CuSO₄·5H₂O (25,45 %)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25,7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25,4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+0,98</w:t>
            </w:r>
          </w:p>
        </w:tc>
        <w:tc>
          <w:tcPr>
            <w:tcW w:w="1538" w:type="dxa"/>
          </w:tcPr>
          <w:p>
            <w:r>
              <w:rPr>
                <w:b/>
                <w:color w:val="B22222"/>
                <w:sz w:val="19"/>
              </w:rPr>
              <w:t xml:space="preserve">ВОПРОС</w:t>
            </w:r>
          </w:p>
        </w:tc>
      </w:tr>
    </w:tbl>
    <w:p>
      <w:r>
        <w:rPr>
          <w:b/>
        </w:rPr>
        <w:t xml:space="preserve">Вывод: </w:t>
      </w:r>
      <w:r>
        <w:t xml:space="preserve">Массовый баланс меди сходится. Но заявленный состав купороса 25,7 % Cu превышает стехиометрический максимум пентагидрата (25,45 %): либо продукт частично обезвожен (примесь CuSO₄·H₂O/безводного ~1–2 %), либо базис состава иной. На гарантии качества продукта это влияет напрямую.</w:t>
      </w:r>
    </w:p>
    <w:p/>
    <w:p>
      <w:pPr>
        <w:pStyle w:val="Heading2"/>
      </w:pPr>
      <w:r>
        <w:rPr>
          <w:b/>
          <w:sz w:val="26"/>
        </w:rPr>
        <w:t xml:space="preserve">L2-NI · Баланс никеля купоросного передела (Лот №2)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Ni входа с фильтратом: 42,2 тыс. м³ × 20,6 кг/м³ [ТЗ п. 4.1] · Ni продуктов: смешанный купорос 11,47 %, медный купорос 0,29 %, маточник-2 30,5 кг/м³ [ТЗ п. 4.2; ИД ч.2 п. 1.4.2.2]</w:t>
      </w:r>
    </w:p>
    <w:p>
      <w:r>
        <w:rPr>
          <w:b/>
          <w:sz w:val="20"/>
        </w:rPr>
        <w:t xml:space="preserve">Вход:  </w:t>
      </w:r>
      <w:r>
        <w:rPr>
          <w:sz w:val="20"/>
        </w:rPr>
        <w:t xml:space="preserve">869,3 т/год</w:t>
      </w:r>
    </w:p>
    <w:p>
      <w:r>
        <w:rPr>
          <w:b/>
          <w:sz w:val="20"/>
        </w:rPr>
        <w:t xml:space="preserve">Выход:  </w:t>
      </w:r>
      <w:r>
        <w:rPr>
          <w:sz w:val="20"/>
        </w:rPr>
        <w:t xml:space="preserve">763,7 (смеш.) + 54,9 (маточник-2) + 41,0 (медный) = 859,6 т/год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Невязка Ni, % входа — 9,7 т/год ≈ 1,1 % — в допуске округлений составов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1,12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0,000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0,0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Никель сводится с невязкой ~1 % — распределение по продуктам согласовано; смешанный купорос уносит 88 % никеля входа, что и требуется для вывода Ni из медного контура.</w:t>
      </w:r>
    </w:p>
    <w:p/>
    <w:p>
      <w:pPr>
        <w:pStyle w:val="Heading2"/>
      </w:pPr>
      <w:r>
        <w:rPr>
          <w:b/>
          <w:sz w:val="26"/>
        </w:rPr>
        <w:t xml:space="preserve">L2-EVAP · Выпарка: соотношение пар/испарённая вода (Лот №2)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Испарённая вода: 27–28 тыс. т/год (3,3–3,4 т/ч) [ИД ч.2 табл. 3.1; расчёт БИ] · Пар технологический: 36,3 тыс. т/год (глухой 3,0 + острый 1,36 т/ч) [ИД ч.2 рис. 4.4/4.5]</w:t>
      </w:r>
    </w:p>
    <w:p>
      <w:r>
        <w:rPr>
          <w:b/>
          <w:sz w:val="20"/>
        </w:rPr>
        <w:t xml:space="preserve">GOR (кг воды / кг пара):  </w:t>
      </w:r>
      <w:r>
        <w:rPr>
          <w:sz w:val="20"/>
        </w:rPr>
        <w:t xml:space="preserve">27 500 / 36 300 = 0,76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GOR вакуум-кристаллизации — паровое хозяйство согласовано с технологией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0,758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0,760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-0,32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Удельный расход пара соответствует одноступенчатой вакуум-кристаллизации; резерв экономии — механическая рекомпрессия пара (МВР), можно предложить Заказчику как опцию энергоэффективности.</w:t>
      </w:r>
    </w:p>
    <w:p/>
    <w:p>
      <w:pPr>
        <w:pStyle w:val="Heading2"/>
      </w:pPr>
      <w:r>
        <w:rPr>
          <w:b/>
          <w:sz w:val="26"/>
        </w:rPr>
        <w:t xml:space="preserve">L3-FARADEY · Электроэкстракция: закон Фарадея, ток, напряжение, мощность (Лот №3)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Производительность: 8 066,1 кг/ч; 75 000 т/год номинал [ИД ч.2 табл. 4.2] · Ванны и катоды: 180 ванн (2×90); 84 матрицы/ванну ≈ 1,0×1,0 м [ИД ч.2 п. 4.2.2, п. 1.3.9] · Удельный расход: 1 942 кВт·ч/т (134 484 тыс. кВт·ч/год) [ИД ч.2 табл. 8.5] · Выход по току: η = 89 % (из ИД: 49,49 кг/ч при 47,04 кА; U_в = 2,05 В при w = 1 942 кВт·ч/т) [ИД ч.2 табл. 3.1/4.2 (задан неявно) — см. п.6 раздела 1]</w:t>
      </w:r>
    </w:p>
    <w:p>
      <w:r>
        <w:rPr>
          <w:b/>
          <w:sz w:val="20"/>
        </w:rPr>
        <w:t xml:space="preserve">Электрохимический эквивалент:  </w:t>
      </w:r>
      <w:r>
        <w:rPr>
          <w:sz w:val="20"/>
        </w:rPr>
        <w:t xml:space="preserve">63,546 / (2 × 96 485) × 3600 = 1,1856 г/(А·ч)</w:t>
      </w:r>
    </w:p>
    <w:p>
      <w:r>
        <w:rPr>
          <w:b/>
          <w:sz w:val="20"/>
        </w:rPr>
        <w:t xml:space="preserve">Ток ванны:  </w:t>
      </w:r>
      <w:r>
        <w:rPr>
          <w:sz w:val="20"/>
        </w:rPr>
        <w:t xml:space="preserve">8 066 100 / 180 / (1,1856 × 0,89) ≈ 42 450 А (42,45 кА)</w:t>
      </w:r>
    </w:p>
    <w:p>
      <w:r>
        <w:rPr>
          <w:b/>
          <w:sz w:val="20"/>
        </w:rPr>
        <w:t xml:space="preserve">Катодная плотность тока:  </w:t>
      </w:r>
      <w:r>
        <w:rPr>
          <w:sz w:val="20"/>
        </w:rPr>
        <w:t xml:space="preserve">42 450 / (84 × 2 × 1,0 м²) = 252,7 А/м²</w:t>
      </w:r>
    </w:p>
    <w:p>
      <w:r>
        <w:rPr>
          <w:b/>
          <w:sz w:val="20"/>
        </w:rPr>
        <w:t xml:space="preserve">Напряжение ванны из удельного расхода:  </w:t>
      </w:r>
      <w:r>
        <w:rPr>
          <w:sz w:val="20"/>
        </w:rPr>
        <w:t xml:space="preserve">1 942 × 1,1856·10⁻³ × 0,89 = 2,05 В</w:t>
      </w:r>
    </w:p>
    <w:p>
      <w:r>
        <w:rPr>
          <w:b/>
          <w:sz w:val="20"/>
        </w:rPr>
        <w:t xml:space="preserve">Мощность серий:  </w:t>
      </w:r>
      <w:r>
        <w:rPr>
          <w:sz w:val="20"/>
        </w:rPr>
        <w:t xml:space="preserve">134 484 / 8 584,8 = 15,67 МВт (ср.); ток из мощности: ≈42 450 А</w:t>
      </w:r>
    </w:p>
    <w:p>
      <w:r>
        <w:rPr>
          <w:b/>
          <w:sz w:val="20"/>
        </w:rPr>
        <w:t xml:space="preserve">Проверка «280 А/м²»:  </w:t>
      </w:r>
      <w:r>
        <w:rPr>
          <w:sz w:val="20"/>
        </w:rPr>
        <w:t xml:space="preserve">280 А/м² × 168 м² × 180 ванн × 1,1856 × 0,89 × 8 584,8 ч → 76,7 тыс. т/год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Ток ванны: Фарадей vs мощность/напряжение, А — два независимых пути дают один ток серии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42 450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42 454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-0,01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Максимум при 280 А/м², тыс. т/год — при η = 89 % и фонде 8 584,8 ч — совпадение с ИД табл. 4.2 точное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76,7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76,7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0,0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Напряжение ванны, В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2,05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2,10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-2,42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Электрохимия самосогласована при η = 89 %, заданном в ИД неявно (49,49 кг/ч при 47,04 кА; U_в = 2,05 В при w = 1 942 кВт·ч/т): ток ванны ≈42,45 кА (плотность 252,7 А/м²), напряжение 2,05 В, мощность выпрямления ≈15,7 МВт (ср.). Проверка при 280 А/м² и фонде 8 584,8 ч даёт 76,7 тыс. т/год — точное совпадение с ИД табл. 4.2. Подтверждение η запросить у Гипроникеля (см. п.6 раздела 1).</w:t>
      </w:r>
    </w:p>
    <w:p/>
    <w:p>
      <w:pPr>
        <w:pStyle w:val="Heading2"/>
      </w:pPr>
      <w:r>
        <w:rPr>
          <w:b/>
          <w:sz w:val="26"/>
        </w:rPr>
        <w:t xml:space="preserve">L3-MIX · Контур растворов: смешение и съём меди (Лот №3)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Богатый фильтрат: 102,9 кг/м³ Cu; отсечка в контур 124,7 м³/ч [ТЗ п. 4.1; ИД ч.2 табл. 3.1] · Оборотный (бедный): 35 кг/м³ Cu [ТЗ п. 5.1] · Питание ванн: 40 кг/м³ (съём 5 кг/м³); поток 1 600–1 650 м³/ч [ИД ч.2 табл. 3.1]</w:t>
      </w:r>
    </w:p>
    <w:p>
      <w:r>
        <w:rPr>
          <w:b/>
          <w:sz w:val="20"/>
        </w:rPr>
        <w:t xml:space="preserve">Поток питания из уравнения смешения:  </w:t>
      </w:r>
      <w:r>
        <w:rPr>
          <w:sz w:val="20"/>
        </w:rPr>
        <w:t xml:space="preserve">124,7 × (102,9 − 35) / (40 − 35) = 1 693 м³/ч</w:t>
      </w:r>
    </w:p>
    <w:p>
      <w:r>
        <w:rPr>
          <w:b/>
          <w:sz w:val="20"/>
        </w:rPr>
        <w:t xml:space="preserve">Медь съёмом:  </w:t>
      </w:r>
      <w:r>
        <w:rPr>
          <w:sz w:val="20"/>
        </w:rPr>
        <w:t xml:space="preserve">5,0 × 1 634,5 × 8 584,8 ч = 70 159 т/год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Поток питания серий, м³/ч — сходится в середину диапазона с учётом подпитки купоросным раствором 3,2–3,5 м³/ч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1 693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1 625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+4,21</w:t>
            </w:r>
          </w:p>
        </w:tc>
        <w:tc>
          <w:tcPr>
            <w:tcW w:w="1538" w:type="dxa"/>
          </w:tcPr>
          <w:p>
            <w:r>
              <w:rPr>
                <w:b/>
                <w:color w:val="B8860B"/>
                <w:sz w:val="19"/>
              </w:rPr>
              <w:t xml:space="preserve">в допуске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Производительность по съёму,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70 159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69 250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+1,31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Гидравлика контура и электрохимия согласованы: уравнение смешения независимо воспроизводит поток питания 1,6–1,65 тыс. м³/ч, съём 5 кг/м³ — расчётную производительность. Подтверждаем правильность выбора 180 ванн (163 расчётно × 1,10 = 179,3).</w:t>
      </w:r>
    </w:p>
    <w:p/>
    <w:p>
      <w:pPr>
        <w:pStyle w:val="Heading2"/>
      </w:pPr>
      <w:r>
        <w:rPr>
          <w:b/>
          <w:sz w:val="26"/>
        </w:rPr>
        <w:t xml:space="preserve">L4-PACK · Потоки склада готовой продукции (Лот №4)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Производительность: 75 000 т/год; пакет 2 500 ± 50 кг [ТЗ; ИД п. 1.3.11] · Режим: 358 сут/год; полувагон 27 пакетов (67,5 т) [ТЗ п. 5.3; расчёт БИ]</w:t>
      </w:r>
    </w:p>
    <w:p>
      <w:r>
        <w:rPr>
          <w:b/>
          <w:sz w:val="20"/>
        </w:rPr>
        <w:t xml:space="preserve">Пакетов в год / в сутки:  </w:t>
      </w:r>
      <w:r>
        <w:rPr>
          <w:sz w:val="20"/>
        </w:rPr>
        <w:t xml:space="preserve">75 000 / 2,5 = 30 000; 83,8/сут</w:t>
      </w:r>
    </w:p>
    <w:p>
      <w:r>
        <w:rPr>
          <w:b/>
          <w:sz w:val="20"/>
        </w:rPr>
        <w:t xml:space="preserve">Отгрузка:  </w:t>
      </w:r>
      <w:r>
        <w:rPr>
          <w:sz w:val="20"/>
        </w:rPr>
        <w:t xml:space="preserve">3,1 полувагона/сут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Пакетов в сутки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83,8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84,0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-0,24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Полувагонов в сутки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3,10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3,10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+0,12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Потоки склада подтверждены; буфер 3 000 т покрывает 14,3 суток отгрузки — устойчив к недельным сбоям подачи вагонов.</w:t>
      </w:r>
    </w:p>
    <w:p/>
    <w:p>
      <w:pPr>
        <w:pStyle w:val="Heading2"/>
      </w:pPr>
      <w:r>
        <w:rPr>
          <w:b/>
          <w:sz w:val="26"/>
        </w:rPr>
        <w:t xml:space="preserve">L3-NB · Новый корпус электроэкстракции: компоновка расчётом (сценарий «новое строительство») (Лот №3)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Базис размещения: новое строительство на свободной территории (ТЗ v4.1 п.1.3 от 25.08.2026) [ТЗ v4.1 п.1.3; остаточное противоречие внутри v4.1 — см. п.7 раздела 1] · Ванны: 180 шт. (2 серии × 90, ряды по 45); 84 катода/ванну, шаг 95 мм (прил. В ДЕЛЬТА) [ИД ч.2 п. 4.2.2, п. 1.3.9; прил. В] · Кран и отметки: мостовые краны над ваннами; подъём матрицы ≈1,3 м + траверса [практика tankhouse; ИД ч.2 (КСМ)]</w:t>
      </w:r>
    </w:p>
    <w:p>
      <w:r>
        <w:rPr>
          <w:b/>
          <w:sz w:val="20"/>
        </w:rPr>
        <w:t xml:space="preserve">Ванна в плане:  </w:t>
      </w:r>
      <w:r>
        <w:rPr>
          <w:sz w:val="20"/>
        </w:rPr>
        <w:t xml:space="preserve">8,645 × 1,315 м (ДЕЛЬТА, прил. В)</w:t>
      </w:r>
    </w:p>
    <w:p>
      <w:r>
        <w:rPr>
          <w:b/>
          <w:sz w:val="20"/>
        </w:rPr>
        <w:t xml:space="preserve">Ряд из 45 ванн:  </w:t>
      </w:r>
      <w:r>
        <w:rPr>
          <w:sz w:val="20"/>
        </w:rPr>
        <w:t xml:space="preserve">44 × 1,40 + 1,32 = 62,9 м ≈ 63 м</w:t>
      </w:r>
    </w:p>
    <w:p>
      <w:r>
        <w:rPr>
          <w:b/>
          <w:sz w:val="20"/>
        </w:rPr>
        <w:t xml:space="preserve">Корпус:  </w:t>
      </w:r>
      <w:r>
        <w:rPr>
          <w:sz w:val="20"/>
        </w:rPr>
        <w:t xml:space="preserve">36 × 190 × 17 м (2 пролёта по 18 м; 2 серии последовательно: 2 × 63 + КСМ 30 + ремзона 20 = 176 м &lt; 190 м — увеличенный резерв)</w:t>
      </w:r>
    </w:p>
    <w:p>
      <w:r>
        <w:rPr>
          <w:b/>
          <w:sz w:val="20"/>
        </w:rPr>
        <w:t xml:space="preserve">Объёмы:  </w:t>
      </w:r>
      <w:r>
        <w:rPr>
          <w:sz w:val="20"/>
        </w:rPr>
        <w:t xml:space="preserve">корпус ЭЭ 116 + электролитное 12 + купорос 16 + склад ГП 32 = 177 тыс. м³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Длина корпуса vs существующий ЦЭМ (186 м), м — новый корпус того же порядка — компоновочная логика ИД сохраняется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189,5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186,0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+1,88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Кубатура ЭЭ на тонну мощности, м³/т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1,71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1,90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-10,13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Новый корпус ЭЭ 36 × 190 м с высотой до низа ферм ~16 м вмещает 180 ванн в две последовательные серии с зоной КСМ и ремзоной — газоочистка, аспирация и электролитное отделение в пристрое. Посадка на генплан, привязка к сетям и полные строительные нагрузки нового корпуса — добавляются в состав БИ (сценарий «новое строительство»).</w:t>
      </w:r>
    </w:p>
    <w:p/>
    <w:p>
      <w:pPr>
        <w:pStyle w:val="Heading2"/>
      </w:pPr>
      <w:r>
        <w:rPr>
          <w:b/>
          <w:sz w:val="26"/>
        </w:rPr>
        <w:t xml:space="preserve">X-NB · Стоимость нового строительства (базис ТЗ v4.1 п.1.3) (Комплекс)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Объёмы L3-NB: ЭЭ+электролитное 128 тыс. м³; купорос 16; склад 32 [расчёт L3-NB] · Удельники: 45–65 тыс. ₽/м³ (промкаркас, V снеговой район, сети в здании); ЭЭ ×1,15 (кислотостойкие полы и фундаменты ванн); склад 40 [оценка КВАНТ Class 5 по аналогам 2025–2026]</w:t>
      </w:r>
    </w:p>
    <w:p>
      <w:r>
        <w:rPr>
          <w:b/>
          <w:sz w:val="20"/>
        </w:rPr>
        <w:t xml:space="preserve">Корпус ЭЭ с электролитным:  </w:t>
      </w:r>
      <w:r>
        <w:rPr>
          <w:sz w:val="20"/>
        </w:rPr>
        <w:t xml:space="preserve">6,6–9,6 млрд ₽ (середина 8,1)</w:t>
      </w:r>
    </w:p>
    <w:p>
      <w:r>
        <w:rPr>
          <w:b/>
          <w:sz w:val="20"/>
        </w:rPr>
        <w:t xml:space="preserve">Купорос / склад ГП:  </w:t>
      </w:r>
      <w:r>
        <w:rPr>
          <w:sz w:val="20"/>
        </w:rPr>
        <w:t xml:space="preserve">0,9 / 1,3 млрд ₽</w:t>
      </w:r>
    </w:p>
    <w:p>
      <w:r>
        <w:rPr>
          <w:b/>
          <w:sz w:val="20"/>
        </w:rPr>
        <w:t xml:space="preserve">Итого новые здания лотов 2–4:  </w:t>
      </w:r>
      <w:r>
        <w:rPr>
          <w:sz w:val="20"/>
        </w:rPr>
        <w:t xml:space="preserve">≈10,3 млрд ₽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Удельная стоимость новых зданий лотов 2–4 (Class 5), тыс. ₽/м³ — к середине диапазона аналогов 45–65 — средневзвешенный удельник (10,3 млрд ₽ / 176 тыс. м³) в границах диапазона аналогов; уточняется бюджетными ТКП и сметой на стадии БИ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58,5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55,0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+6,4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Базис нового строительства (ТЗ v4.1 п.1.3) учтён в CAPEX: новые здания лотов 2–4 ≈10,3 млрд ₽ (сверх корпуса обжига, который и в ТЗ был новым), строительный цикл ~18–24 месяца. Строка CAPEX «реконструкция ЦЭМ/ГМУ» заменена на три строки нового строительства.</w:t>
      </w:r>
    </w:p>
    <w:p/>
    <w:p>
      <w:pPr>
        <w:pStyle w:val="Heading2"/>
      </w:pPr>
      <w:r>
        <w:rPr>
          <w:b/>
          <w:sz w:val="26"/>
        </w:rPr>
        <w:t xml:space="preserve">EL-TOTAL · Сводная электрическая нагрузка комплекса (для ТУ) (Комплекс)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Составляющие: Лот 1 (обжиг): ср, 0,98 МВт; Лот 2 (купорос): ср, 0,19 МВт; Лот 3 (ЭЭ: выпрямление + вспом,): ср, 16,07 МВт; Лот 4 (склад): ср, 0,08 МВт [ИД табл. 26, табл. 8.5 + досчёты КВАНТ (L1-EL, L3-FARADEY)]</w:t>
      </w:r>
    </w:p>
    <w:p>
      <w:r>
        <w:rPr>
          <w:b/>
          <w:sz w:val="20"/>
        </w:rPr>
        <w:t xml:space="preserve">Средняя нагрузка комплекса:  </w:t>
      </w:r>
      <w:r>
        <w:rPr>
          <w:sz w:val="20"/>
        </w:rPr>
        <w:t xml:space="preserve">17,3 МВт</w:t>
      </w:r>
    </w:p>
    <w:p>
      <w:r>
        <w:rPr>
          <w:b/>
          <w:sz w:val="20"/>
        </w:rPr>
        <w:t xml:space="preserve">Установленная (оценка с резервами):  </w:t>
      </w:r>
      <w:r>
        <w:rPr>
          <w:sz w:val="20"/>
        </w:rPr>
        <w:t xml:space="preserve">≈21 МВт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Средняя нагрузка, МВт — для запроса ТУ у сетевой организации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17,3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17,0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+1,83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Для запроса ТУ: средняя нагрузка ≈17.3 МВт, установленная ≈21 МВт, доминанта — выпрямители электроэкстракции (I категория надёжности; окно отключений ≤ 2 ч из-за пассивации анодов). Разбивку по категориям ПУЭ выдаём в составе БИ.</w:t>
      </w:r>
    </w:p>
    <w:p/>
    <w:p>
      <w:pPr>
        <w:pStyle w:val="Heading2"/>
      </w:pPr>
      <w:r>
        <w:rPr>
          <w:b/>
          <w:sz w:val="26"/>
        </w:rPr>
        <w:t xml:space="preserve">IO-TOTAL · Укрупнённый объём сигналов АСУТП (для выбора контроллеров) (Комплекс)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База: перечень оборудования БИ (70 позиций) × типовые наборы сигналов на агрегат/контур + 30 % запас (Прил.5) [equipment.json; Прил. №5 (запас модулей ввода/вывода ≥30 %)]</w:t>
      </w:r>
    </w:p>
    <w:p>
      <w:r>
        <w:rPr>
          <w:b/>
          <w:sz w:val="20"/>
        </w:rPr>
        <w:t xml:space="preserve">По лотам:  </w:t>
      </w:r>
      <w:r>
        <w:rPr>
          <w:sz w:val="20"/>
        </w:rPr>
        <w:t xml:space="preserve">Лот 1: 700–1000; Лот 2: 350–500; Лот 3: 450–650; Лот 4: 200–300</w:t>
      </w:r>
    </w:p>
    <w:p>
      <w:r>
        <w:rPr>
          <w:b/>
          <w:sz w:val="20"/>
        </w:rPr>
        <w:t xml:space="preserve">Итого по комплексу:  </w:t>
      </w:r>
      <w:r>
        <w:rPr>
          <w:sz w:val="20"/>
        </w:rPr>
        <w:t xml:space="preserve">1700–2450 физических сигналов (с запасом 30 %)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Порядок величины I/O — 8–12 крейтов REGUL RX00; уточняется перечнями сигналов на детальном этапе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2 075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2 000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+3,75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Порядок 1,7–2,4 тыс. сигналов задаёт состав КТС (контроллеры, станции в/в, серверы SCADA) и бюджет АСУ в Class 3 оценке. Детальный I/O list — этап детального инжиниринга.</w:t>
      </w:r>
    </w:p>
    <w:p/>
    <w:p>
      <w:pPr>
        <w:pStyle w:val="Heading2"/>
      </w:pPr>
      <w:r>
        <w:rPr>
          <w:b/>
          <w:sz w:val="26"/>
        </w:rPr>
        <w:t xml:space="preserve">X-CU · Сквозной баланс меди: сырьё лота 1 → катодная медь лота 3 (Комплекс)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Приход Cu в шихту: 71 264,3 т/год (наш L1-MET) [расчёт КВАНТ по ИД табл. 22] · Уходы мимо катода: потери 0,47 % · смешанный купорос (9,79 % Cu → NNH) · маточник-2 (в ЦЭН) [ИД табл. 22; ТЗ п. 4.2; ИД ч.2 п. 1.4.2.2] · Расчётная катодная ИД ч.2: 8 066,1 кг/ч × 8 584,8 ч = 69 246 т/год [ИД ч.2 табл. 4.2]</w:t>
      </w:r>
    </w:p>
    <w:p>
      <w:r>
        <w:rPr>
          <w:b/>
          <w:sz w:val="20"/>
        </w:rPr>
        <w:t xml:space="preserve">Доступно к катоду:  </w:t>
      </w:r>
      <w:r>
        <w:rPr>
          <w:sz w:val="20"/>
        </w:rPr>
        <w:t xml:space="preserve">71 264,3 − 334,7 − 651,8 − 26,1 = 70 251,7 т/год</w:t>
      </w:r>
    </w:p>
    <w:p>
      <w:r>
        <w:rPr>
          <w:b/>
          <w:sz w:val="20"/>
        </w:rPr>
        <w:t xml:space="preserve">Дефицит к «75 000 т/год»:  </w:t>
      </w:r>
      <w:r>
        <w:rPr>
          <w:sz w:val="20"/>
        </w:rPr>
        <w:t xml:space="preserve">75 000 − 70 251,7 = 4 748,3 т (6,3 %)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Доступная медь vs расчётная катодная ИД ч.2, т/год — остаток 1,45 % — потери ГМЦ 0,10 % и оборотная незавершёнка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70 252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69 246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+1,45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Обеспеченность «75 000 т/год» сырьём, % — сырьё ИД покрывает ≈93,7 % заявленной мощности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93,7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100,0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-6,33</w:t>
            </w:r>
          </w:p>
        </w:tc>
        <w:tc>
          <w:tcPr>
            <w:tcW w:w="1538" w:type="dxa"/>
          </w:tcPr>
          <w:p>
            <w:r>
              <w:rPr>
                <w:b/>
                <w:color w:val="B22222"/>
                <w:sz w:val="19"/>
              </w:rPr>
              <w:t xml:space="preserve">ВОПРОС</w:t>
            </w:r>
          </w:p>
        </w:tc>
      </w:tr>
    </w:tbl>
    <w:p>
      <w:r>
        <w:rPr>
          <w:b/>
        </w:rPr>
        <w:t xml:space="preserve">Вывод: </w:t>
      </w:r>
      <w:r>
        <w:t xml:space="preserve">Сквозной баланс замыкается на расчётную производительность ИД ч.2 (69,25 тыс. т) с невязкой 1,45 % — данные согласованы. Но заявленные «75 000 т/год» — это МОЩНОСТЬ оборудования (280 А/м² → 76,7 тыс. т), а не выпуск: заявленное сырьё обеспечивает ~69–70 тыс. т катодной меди. В гарантиях это обязательно разделить, иначе с нас спросят 75 000 при сырье на 69.</w:t>
      </w:r>
    </w:p>
    <w:p/>
    <w:p>
      <w:pPr>
        <w:pStyle w:val="Heading2"/>
      </w:pPr>
      <w:r>
        <w:rPr>
          <w:b/>
          <w:sz w:val="26"/>
        </w:rPr>
        <w:t xml:space="preserve">L1-DEW · Кислотная точка росы газов (коррозионная граница тракта)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Состав газа на СКЦ (осн./вспом.): H₂O 19,27/13,26 %; SO₃ 0,718/0,437 % [ИД табл. 23 п.400–403] · Метод: корреляция Verhoff–Banchero (H₂SO₄-точка росы по парциальным давлениям) [справочная корреляция]</w:t>
      </w:r>
    </w:p>
    <w:p>
      <w:r>
        <w:rPr>
          <w:b/>
          <w:sz w:val="20"/>
        </w:rPr>
        <w:t xml:space="preserve">Точка росы, основной вариант:  </w:t>
      </w:r>
      <w:r>
        <w:rPr>
          <w:sz w:val="20"/>
        </w:rPr>
        <w:t xml:space="preserve">221 °C</w:t>
      </w:r>
    </w:p>
    <w:p>
      <w:r>
        <w:rPr>
          <w:b/>
          <w:sz w:val="20"/>
        </w:rPr>
        <w:t xml:space="preserve">Точка росы, вспомогательный:  </w:t>
      </w:r>
      <w:r>
        <w:rPr>
          <w:sz w:val="20"/>
        </w:rPr>
        <w:t xml:space="preserve">209 °C</w:t>
      </w:r>
    </w:p>
    <w:p>
      <w:r>
        <w:rPr>
          <w:b/>
          <w:sz w:val="20"/>
        </w:rPr>
        <w:t xml:space="preserve">Запас тракта при 387 °C:  </w:t>
      </w:r>
      <w:r>
        <w:rPr>
          <w:sz w:val="20"/>
        </w:rPr>
        <w:t xml:space="preserve">166 °C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Запас газа над точкой росы, °C — в потоке запас большой; риск — холодные стенки и остановки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166,4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150,0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+10,92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Точка росы H₂SO₄ ≈ 221 °C (осн.) — в номинале тракт сухой, но конденсация начнётся на любой стенке холоднее ≈221 °C: требования БИ — минимальная температура стенок газоходов/бункеров ЭФ ≥ 240 °C (изоляция, обогрев холодных мостов), продувка тракта при остановках, кислотостойкое исполнение узлов подсосов. За коррозию тракта спросят на межремонтном пробеге.</w:t>
      </w:r>
    </w:p>
    <w:p/>
    <w:p>
      <w:pPr>
        <w:pStyle w:val="Heading2"/>
      </w:pPr>
      <w:r>
        <w:rPr>
          <w:b/>
          <w:sz w:val="26"/>
        </w:rPr>
        <w:t xml:space="preserve">L1-BED · Печь КС: проверка фактической геометрии HATCH нашей моделью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Геометрия печи (ИД ч.1, стр. 417–418): конус 21°: Ø6000 подина → Ø8390 газоход; высота конуса 6 450; решётка 583 сопла [ИД ч.1 разд. 2.3 (конструкция HATCH)] · Время пребывания / огарок: 9 ч при 930 °C; 10,34 т/ч номинал [ИД разд. 2.3; табл. 22/23] · Плотность псевдоожиженного слоя: ≈1,3 т/м³ (вспученное состояние) [оценка КВАНТ]</w:t>
      </w:r>
    </w:p>
    <w:p>
      <w:r>
        <w:rPr>
          <w:b/>
          <w:sz w:val="20"/>
        </w:rPr>
        <w:t xml:space="preserve">Масса и объём слоя:  </w:t>
      </w:r>
      <w:r>
        <w:rPr>
          <w:sz w:val="20"/>
        </w:rPr>
        <w:t xml:space="preserve">10,34 × 9 = 93,1 т → 71,6 м³</w:t>
      </w:r>
    </w:p>
    <w:p>
      <w:r>
        <w:rPr>
          <w:b/>
          <w:sz w:val="20"/>
        </w:rPr>
        <w:t xml:space="preserve">Высота слоя в конусе (решение V(h)):  </w:t>
      </w:r>
      <w:r>
        <w:rPr>
          <w:sz w:val="20"/>
        </w:rPr>
        <w:t xml:space="preserve">h ≈ 1,98 м; зеркало слоя Ø 7,5 м (44 м²)</w:t>
      </w:r>
    </w:p>
    <w:p>
      <w:r>
        <w:rPr>
          <w:b/>
          <w:sz w:val="20"/>
        </w:rPr>
        <w:t xml:space="preserve">Напряжённость по зеркалу слоя:  </w:t>
      </w:r>
      <w:r>
        <w:rPr>
          <w:sz w:val="20"/>
        </w:rPr>
        <w:t xml:space="preserve">324 т/сут ÷ 44 м² = 7,3 т/(м²·сут)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Высота слоя, м — 9-часовое пребывание в конусной печи даёт слой ~2 м — реалистично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1,98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2,00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-0,75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Напряжённость по зеркалу слоя, т/(м²·сут) — конусная форма (Ø6→8,39 м) выводит напряжённость в норму — по подине была бы 11,5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7,29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7,00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+4,08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Фактическая геометрия печи HATCH проходит независимую проверку: слой ~2 м, зеркало Ø7,5 м, напряжённость 7,3 т/(м²·сут) — в мировом диапазоне. Конус 21° одновременно решает сепарацию (скорость газа падает к газоходу) — see L1-FLUID. Геометрия передана в CFD-кейс взамен нашей цилиндрической оценки.</w:t>
      </w:r>
    </w:p>
    <w:p/>
    <w:p>
      <w:pPr>
        <w:pStyle w:val="Heading2"/>
      </w:pPr>
      <w:r>
        <w:rPr>
          <w:b/>
          <w:sz w:val="26"/>
        </w:rPr>
        <w:t xml:space="preserve">L1-FLUID · Гидродинамика слоя КС (пред-CFD): скорости и механизм уноса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Частицы: огарок 449 мкм (слой), концентрат 25,5 мкм (свежая шихта); ρ ≈ 5 300 кг/м³ (оценка) [ИД табл. 23 (крупности); оценка КВАНТ] · Газ в слое: 930 °C; ρ = 0,304 кг/м³; μ = 4,6·10⁻⁵ Па·с [справочные свойства] · Сечения конусной печи: подина 28 м² → зеркало слоя 44 м² → газоход 55 м² [ИД ч.1 стр. 417 (геометрия HATCH)]</w:t>
      </w:r>
    </w:p>
    <w:p>
      <w:r>
        <w:rPr>
          <w:b/>
          <w:sz w:val="20"/>
        </w:rPr>
        <w:t xml:space="preserve">Критерий Архимеда:  </w:t>
      </w:r>
      <w:r>
        <w:rPr>
          <w:sz w:val="20"/>
        </w:rPr>
        <w:t xml:space="preserve">Ar = 676</w:t>
      </w:r>
    </w:p>
    <w:p>
      <w:r>
        <w:rPr>
          <w:b/>
          <w:sz w:val="20"/>
        </w:rPr>
        <w:t xml:space="preserve">Мин. скорость псевдоожижения (Wen–Yu):  </w:t>
      </w:r>
      <w:r>
        <w:rPr>
          <w:sz w:val="20"/>
        </w:rPr>
        <w:t xml:space="preserve">u_mf = 0,137 м/с</w:t>
      </w:r>
    </w:p>
    <w:p>
      <w:r>
        <w:rPr>
          <w:b/>
          <w:sz w:val="20"/>
        </w:rPr>
        <w:t xml:space="preserve">Скорость газа по высоте конуса:  </w:t>
      </w:r>
      <w:r>
        <w:rPr>
          <w:sz w:val="20"/>
        </w:rPr>
        <w:t xml:space="preserve">подина 0,46 → зеркало 0,29 → газоход 0,23 м/с</w:t>
      </w:r>
    </w:p>
    <w:p>
      <w:r>
        <w:rPr>
          <w:b/>
          <w:sz w:val="20"/>
        </w:rPr>
        <w:t xml:space="preserve">Терминальные скорости:  </w:t>
      </w:r>
      <w:r>
        <w:rPr>
          <w:sz w:val="20"/>
        </w:rPr>
        <w:t xml:space="preserve">концентрат 25,5 мкм: 0,041 м/с; огарок 449 мкм: 6,1 м/с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Число псевдоожижения на зеркале слоя u/u_mf — у подины 3,3 (энергичное кипение), к зеркалу 2,1 — конус гасит скорость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2,12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2,00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+5,85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Вынос мелкой фракции: u/u_t(25,5 мкм) — свежая шихта выносится, пока не укрупнится в слое — механизм пылевыноса 19–29 % подтверждён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7,14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5,00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+42,87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Конус работает как встроенный сепаратор: скорость газа падает от 0,46 м/с у подины до 0,23 м/с у газохода — крупный огарок (u_t ≈ 6 м/с) остаётся в слое, свежий концентрат 25,5 мкм (u_t ≈ 0,04 м/с) выносится до укрупнения — физика пылевыноса 19/29 % подтверждена на фактической геометрии HATCH. Точную карту слоя даст CFD (кейс обновлён конусной геометрией).</w:t>
      </w:r>
    </w:p>
    <w:p/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