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ОВЭ75-RFQ-20</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Линия подготовки катодных основ.</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Правка, обрамление и подготовка катодных основ/матриц; в ИД упомянуты стеллажи для правки и обрамления катодных основ, если это оборудование не входит в состав стрип-машины.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OVE75-RFQ-20</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Cathode blank preparation line.</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ОВЭ75-RFQ-20 / To RFQ No. OVE75-RFQ-20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Линия подготовки катодных основ</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Правка, обрамление и подготовка катодных основ/матриц; в ИД упомянуты стеллажи для правки и обрамления катодных основ, если это оборудование не входит в состав стрип-машины</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Указать, входят ли правка и обрамление катодных основ в комплект поставки катодосдирочной машины или предлагаются отдельной линией</w:t>
            </w:r>
          </w:p>
        </w:tc>
      </w:tr>
    </w:tbl>
    <w:p>
      <w:r>
        <w:rPr>
          <w:b/>
          <w:sz w:val="20"/>
        </w:rPr>
        <w:t xml:space="preserve">Состав позиции по перечню оборудования — Equipment covered by this request:</w:t>
      </w:r>
    </w:p>
    <w:p>
      <w:r>
        <w:rPr>
          <w:b/>
          <w:sz w:val="21"/>
        </w:rPr>
        <w:t xml:space="preserve">1. Оборудование автоматической изоляции кромок матриц</w:t>
      </w:r>
      <w:r>
        <w:rPr>
          <w:color w:val="888888"/>
          <w:sz w:val="16"/>
        </w:rPr>
        <w:t xml:space="preserve">   Обработка катодов</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Нанесение изоляции кромок катодных матриц</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Полипропиленовый профиль — расход 2770 кг/год</w:t>
            </w:r>
          </w:p>
        </w:tc>
      </w:tr>
      <w:tr>
        <w:tc>
          <w:tcPr>
            <w:tcW w:w="3038" w:type="dxa"/>
            <w:shd w:val="clear" w:fill="EFEFEF"/>
          </w:tcPr>
          <w:p>
            <w:r>
              <w:rPr>
                <w:b/>
                <w:sz w:val="18"/>
              </w:rPr>
              <w:t xml:space="preserve">Количество — Quantity</w:t>
            </w:r>
          </w:p>
        </w:tc>
        <w:tc>
          <w:tcPr>
            <w:tcW w:w="6600" w:type="dxa"/>
          </w:tcPr>
          <w:p>
            <w:r>
              <w:rPr>
                <w:sz w:val="18"/>
              </w:rPr>
              <w:t xml:space="preserve">Комплект</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