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Пластинчатые теплообменники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Подогрев бедного электролита 1500 кВт + холодильники электролита 2 × 2500 кВт; секционное исполнение с резервной секцией на чистку от гипсовых инкрустаций.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Plate heat exchangers (electrolyte heating and cooling).</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ОВЭ75-RFQ-25 / To RFQ No. OVE75-RFQ-25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Пластинчатые теплообменники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Подогрев бедного электролита 1500 кВт + холодильники электролита 2 × 2500 кВт; секционное исполнение с резервной секцией на чистку от гипсовых инкрустаций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Система переключения каждой секции на промывку специальным раствором и водой; обходные линии для тонкого регулирования</w:t>
            </w:r>
          </w:p>
        </w:tc>
      </w:tr>
    </w:tbl>
    <w:p>
      <w:r>
        <w:rPr>
          <w:b/>
          <w:sz w:val="20"/>
        </w:rPr>
        <w:t xml:space="preserve">Состав позиции по перечню оборудования — Equipment covered by this request:</w:t>
      </w:r>
    </w:p>
    <w:p>
      <w:r>
        <w:rPr>
          <w:b/>
          <w:sz w:val="21"/>
        </w:rPr>
        <w:t xml:space="preserve">1. Теплообменник подогрева бедного электролита</w:t>
      </w:r>
      <w:r>
        <w:rPr>
          <w:color w:val="888888"/>
          <w:sz w:val="16"/>
        </w:rPr>
        <w:t xml:space="preserve">   Теплообмен (вне БИ) · поз. 4.1.17</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Подогрев оборотного раствора фильтратом от выщелачивания перед каскадом; пусковой подогрев паром</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Тепловая мощность 1240 кВт расч.; 50,0 → 59,4 °С по 124,7 м³/ч; 75,0 → 65,6 °С по 129,5 м³/ч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W = 1500 кВт; коэфф. запаса 1,2</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Пластинчатый секционный; резервная секция на посекционную чистку от гипсовых инкрустаций; обходные линии для тонкого регулирования</w:t>
            </w:r>
          </w:p>
        </w:tc>
      </w:tr>
    </w:tbl>
    <w:p>
      <w:r>
        <w:rPr>
          <w:b/>
          <w:sz w:val="21"/>
        </w:rPr>
        <w:t xml:space="preserve">2. Холодильник электролита пластинчатый</w:t>
      </w:r>
      <w:r>
        <w:rPr>
          <w:color w:val="888888"/>
          <w:sz w:val="16"/>
        </w:rPr>
        <w:t xml:space="preserve">   Циркуляция электролита · поз. 4.2.2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Пластинчатый теплообменник, охлаждение водой</w:t>
            </w:r>
          </w:p>
        </w:tc>
      </w:tr>
      <w:tr>
        <w:tc>
          <w:tcPr>
            <w:tcW w:w="3038" w:type="dxa"/>
            <w:shd w:val="clear" w:fill="EFEFEF"/>
          </w:tcPr>
          <w:p>
            <w:r>
              <w:rPr>
                <w:b/>
                <w:sz w:val="18"/>
              </w:rPr>
              <w:t xml:space="preserve">Назначение — Duty</w:t>
            </w:r>
          </w:p>
        </w:tc>
        <w:tc>
          <w:tcPr>
            <w:tcW w:w="6600" w:type="dxa"/>
          </w:tcPr>
          <w:p>
            <w:r>
              <w:rPr>
                <w:sz w:val="18"/>
              </w:rPr>
              <w:t xml:space="preserve">Охлаждение богатого раствора перед подачей в ванны</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Тепловая мощность 3772 кВт расчётная; 50,0 → 48,2 °С по потоку 1634,5 м³/ч; 22,5 → 37,5 °С по воде 216,1 м³/ч</w:t>
            </w:r>
          </w:p>
        </w:tc>
      </w:tr>
      <w:tr>
        <w:tc>
          <w:tcPr>
            <w:tcW w:w="3038" w:type="dxa"/>
            <w:shd w:val="clear" w:fill="EFEFEF"/>
          </w:tcPr>
          <w:p>
            <w:r>
              <w:rPr>
                <w:b/>
                <w:sz w:val="18"/>
              </w:rPr>
              <w:t xml:space="preserve">Количество — Quantity</w:t>
            </w:r>
          </w:p>
        </w:tc>
        <w:tc>
          <w:tcPr>
            <w:tcW w:w="6600" w:type="dxa"/>
          </w:tcPr>
          <w:p>
            <w:r>
              <w:rPr>
                <w:sz w:val="18"/>
              </w:rPr>
              <w:t xml:space="preserve">2 (по числу серий)</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316L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W = 2500 кВт на нитку; факт. 5000 кВт; коэфф. запаса 1,3</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В состав БИ по Лоту №3 теплообменники не включаются (перечень «не в БИ»), но параметры заданы ИД</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