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ОЛ-ОВЭ75-02</w:t>
      </w:r>
    </w:p>
    <w:p>
      <w:r>
        <w:rPr>
          <w:b/>
          <w:sz w:val="28"/>
        </w:rPr>
        <w:t xml:space="preserve">Котёл-утилизатор</w:t>
      </w:r>
    </w:p>
    <w:p>
      <w:r>
        <w:rPr>
          <w:color w:val="666666"/>
          <w:sz w:val="18"/>
        </w:rPr>
        <w:t xml:space="preserve">Лот №1 · Цех обжига · участок: Газоочистка · сформирован 27.08.2026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Котёл-утилизатор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Перепроектируется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Охлаждение и рекуперация тепла отходящего газа, улавливание «грубой» пыли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Расход газа / параметры пара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До 30 000 нм³/ч; пар 1,9 МПа, 375 °С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Тепловосприятие (осн./вспом.)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11,30 / 17,845 ГДж/ч; газ 882,8→400 °C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п.278-281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Паропроизводительность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4,102 / 6,476 т/ч (1,9 МПа, 375 °C), сходимость с энтальпийным расчётом ≤0,2 %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п.282; проверочный расчёт Исполнителя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Годовая выдача пара (до РОУ)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1,9 МПа, 375 °C; 4,102/6,476 т/ч (32 488/51 290 т/год)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разд. 2.5; табл. 23 п.267-268, 282; табл. 26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Питательная вода (ХОВ)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4,31 / 6,80 т/ч, 105 °C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26; табл. 23 п.269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Бункер пылесборника / НЗП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Объём бункера пылесборника 15 м³; НЗП в газоходе «печь КС – КУ» 50 т пыли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Углеродистая сталь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Гидроиспытание (ориентир)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1,25 × 1,9 МПа ≈ 2,38 МПа, до изоляции и обмуровки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ФНП № 536; окончательно — расчёт завода-изготовителя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Перепроектируется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Поверхности нагрева и компоновка (радиация/конвекция/экономайзер)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расчёт завода-изготовителя — по ТКП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Способ очистки поверхностей нагрева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подтвердить в ТКП (ориентир ИД: мехобстукивание, термоволновая)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Масса и членение поставочных блоков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изготовителя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bi_lot1.json (инженерные решения БИ); сборка — ove/tools/build_specs.py, 27.08.2026.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