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ОЛ-ОВЭ75-03</w:t>
      </w:r>
    </w:p>
    <w:p>
      <w:r>
        <w:rPr>
          <w:b/>
          <w:sz w:val="28"/>
        </w:rPr>
        <w:t xml:space="preserve">Циклоны (одиночный циклон газоочистки)</w:t>
      </w:r>
    </w:p>
    <w:p>
      <w:r>
        <w:rPr>
          <w:color w:val="666666"/>
          <w:sz w:val="18"/>
        </w:rPr>
        <w:t xml:space="preserve">Лот №1 · Цех обжига · участок: Газоочистка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Одиночный циклон · СЦН-50-1800×1УП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СЦН-50-1800×1УП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Очистка газа от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по газу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До 32 000 м³/ч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Эффективность в цепочке газоочистки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2.5; табл. 23 п.292, 328, 372, 399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Высота / бункер пылесборника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6 100 мм (+ бункер 8,5 м³)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п.301-302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Бункер и НЗП по перечню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Объём бункера пылесборника 8,5 м³; НЗП в газоходе «КУ – циклон» 50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Масса, монтаж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1,189 т, H=6,1 м — единым блоком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п.302, 312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Гидравлическое сопротивление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868/2232 Па осн./вспом.)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Опоры, теплоизоляция, обогрев бункера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