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ОЛ-ОВЭ75-05</w:t>
      </w:r>
    </w:p>
    <w:p>
      <w:r>
        <w:rPr>
          <w:b/>
          <w:sz w:val="28"/>
        </w:rPr>
        <w:t xml:space="preserve">Дымосос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Дымосос · ДН-15БНЖ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ДН-15БНЖ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Перемещение газа по газовому тракту, подача очищенного газа в СКЦ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по газу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78 000 м³/ч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 / комплектация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шт. (1 резерв), 400 кВт, 6 кВ, 1500 об/мин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п.380-392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Привод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400 кВт, 6000 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Динамика (частота возмущения, масса агрегата)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25 Гц (1500 об/мин), агрегат 5,64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п.391-392, 397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Массы дымососа / двигателя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3,32 т / 2,32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п.392, 397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Температура перемещаемого газа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387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п.403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Годовой расход электроэнергии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3 168 000 кВт·ч/год (44,454 кВт·ч/т Cu)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Полное давление (напор)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1650–7800 Па)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Регулирование производительности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рекомендован ЧРП — подтвердить схему регулирования в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Класс балансировки ротора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