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ОЛ-ОВЭ75-11</w:t>
      </w:r>
    </w:p>
    <w:p>
      <w:r>
        <w:rPr>
          <w:b/>
          <w:sz w:val="28"/>
        </w:rPr>
        <w:t xml:space="preserve">Кран мостовой специальный (автоматический)</w:t>
      </w:r>
    </w:p>
    <w:p>
      <w:r>
        <w:rPr>
          <w:color w:val="666666"/>
          <w:sz w:val="18"/>
        </w:rPr>
        <w:t xml:space="preserve">Лот №3 · Электроэкстракция · участок: Подъёмно-транспортное · сформирован 27.08.2026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ИД/ТЗ Заказчика и решений БИ (equipment.json, bi_lot*.json); жёлтые поля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Специальные автоматические краны с системой позиционирования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2 (по одному на серию/пролёт)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 / модернизация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358 дней/год, 8585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Съём/установка колпаков, выгрузка катодов (1/3 ванны с равномерным шагом), транспортировка в КСМ и обратно, пошаговая установка матриц; ручной режим — замена анодов и чистка ванн от шлама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 (по одному на серию/пролёт)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Грузоподъёмность / режим работы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 шт.; Q ≈ 16–20 т; режим ≥ А6/М7; оснастка 316L; ИК-контроль КЗ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п. 4.2.2; расчёт нагрузок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Нагрузки (груз + траверса)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груз до 11,6 т (84 матрицы) + траверса 3–5 т; Q ориентировочно 16–20 т; ≈28 обслуживаний/сут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прил. В, п. 4.1.2; расчёт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 оснастки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Металлические элементы и оснастка — нерж. сталь 316L или аналог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Автоматика / функции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График выгрузки формируется в зависимости от плана-задания и токовой нагрузки; комплектуются бороной и поддоном для сбора проливов; рекомендуется система ИК-датчиков контроля контактного хозяйства и КЗ в ваннах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Пролёт корпуса (справочно)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 × 8,645 = 17,29 м + проходы 1,8/1,4/1,5 м = 21,99 ≤ 22,0 м — помещается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расчёт; ИД п. 4.2.2; прил. В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Разграничение поставки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спецоснащение и автоматика — Лот №3; базовые краны — модернизация существующих ЦЭМ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 5.3; ИД п. 4.2.2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Испытания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освидетельствование ФНП № 461: статика 125 %, динамика 110 % грузоподъёмности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ФНП № 461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Примечание перечня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Рекомендуется использовать существующее подъёмно-транспортное оборудование ЦЭМ после модернизации (при необходимости)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 / модернизация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Пролёт крана, высота подъёма, скорости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Точность позиционирования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 (требование АСУ — автоматический график выгрузки)</w:t>
            </w:r>
          </w:p>
        </w:tc>
      </w:tr>
    </w:tbl>
    <w:p>
      <w:r>
        <w:rPr>
          <w:color w:val="8A6200"/>
          <w:sz w:val="17"/>
        </w:rPr>
        <w:t xml:space="preserve">Жёлтым выделено «уточняется по ТКП» — заполняет поставщик; остальные значения — исходные требования Заказчика (ИД/ТЗ) и решения БИ КВАНТ.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(жёлтые поля)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equipment.json (перечень по ИД/ТЗ) и bi_lot3.json (инженерные решения БИ); сборка — ove/tools/build_specs.py, 27.08.2026.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